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360" w:lineRule="auto"/>
        <w:jc w:val="center"/>
        <w:rPr>
          <w:rFonts w:ascii="Times New Roman" w:hAnsi="Times New Roman" w:eastAsia="宋体" w:cs="Times New Roman"/>
          <w:b/>
          <w:bCs/>
          <w:color w:val="auto"/>
          <w:sz w:val="28"/>
          <w:szCs w:val="28"/>
          <w:highlight w:val="none"/>
        </w:rPr>
      </w:pPr>
      <w:r>
        <w:rPr>
          <w:rFonts w:ascii="Times New Roman" w:hAnsi="Times New Roman" w:eastAsia="宋体" w:cs="Times New Roman"/>
          <w:b/>
          <w:bCs/>
          <w:color w:val="auto"/>
          <w:sz w:val="28"/>
          <w:szCs w:val="28"/>
          <w:highlight w:val="none"/>
        </w:rPr>
        <w:t>编制说明</w:t>
      </w:r>
    </w:p>
    <w:p>
      <w:pPr>
        <w:pStyle w:val="27"/>
        <w:tabs>
          <w:tab w:val="left" w:pos="1276"/>
        </w:tabs>
        <w:spacing w:line="360" w:lineRule="auto"/>
        <w:ind w:firstLine="0" w:firstLineChars="0"/>
        <w:rPr>
          <w:rFonts w:ascii="Times New Roman" w:hAnsi="Times New Roman" w:eastAsia="宋体" w:cs="Times New Roman"/>
          <w:b/>
          <w:bCs/>
          <w:color w:val="auto"/>
          <w:sz w:val="24"/>
          <w:szCs w:val="24"/>
          <w:highlight w:val="none"/>
        </w:rPr>
      </w:pPr>
      <w:r>
        <w:rPr>
          <w:rFonts w:ascii="Times New Roman" w:hAnsi="Times New Roman" w:eastAsia="宋体" w:cs="Times New Roman"/>
          <w:b/>
          <w:bCs/>
          <w:color w:val="auto"/>
          <w:sz w:val="24"/>
          <w:szCs w:val="24"/>
          <w:highlight w:val="none"/>
        </w:rPr>
        <w:t>一、标准起草的基本情况（包括简要的起草过程、主要起草单位、起草人等）</w:t>
      </w:r>
    </w:p>
    <w:p>
      <w:pPr>
        <w:pStyle w:val="6"/>
        <w:keepNext w:val="0"/>
        <w:keepLines w:val="0"/>
        <w:pageBreakBefore w:val="0"/>
        <w:widowControl w:val="0"/>
        <w:kinsoku/>
        <w:wordWrap/>
        <w:overflowPunct/>
        <w:topLinePunct w:val="0"/>
        <w:bidi w:val="0"/>
        <w:adjustRightInd/>
        <w:snapToGrid/>
        <w:spacing w:before="0" w:beforeLines="20" w:after="0" w:afterLines="20" w:line="360" w:lineRule="auto"/>
        <w:ind w:left="0" w:leftChars="0" w:right="0" w:firstLine="420" w:firstLineChars="200"/>
        <w:jc w:val="both"/>
        <w:textAlignment w:val="auto"/>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sz w:val="21"/>
          <w:szCs w:val="21"/>
          <w:highlight w:val="none"/>
          <w:lang w:val="en-US" w:eastAsia="zh-CN"/>
        </w:rPr>
        <w:t>六肽-11是一种新型的人二倍体成纤维细胞蛋白酶沉积网络的调节剂，对成纤维细胞具有显著的保护作用，可防止细胞过早衰老，改善皮肤弹性，减少细纹和皱纹，刺激胶原蛋白的产生；增进皮肤紧实，提高保水能力</w:t>
      </w:r>
      <w:r>
        <w:rPr>
          <w:rFonts w:hint="eastAsia" w:ascii="仿宋" w:hAnsi="仿宋" w:eastAsia="仿宋" w:cs="仿宋"/>
          <w:color w:val="auto"/>
          <w:sz w:val="21"/>
          <w:szCs w:val="21"/>
          <w:highlight w:val="none"/>
          <w:u w:val="none"/>
          <w:lang w:val="en-US" w:eastAsia="zh-CN"/>
        </w:rPr>
        <w:t>；</w:t>
      </w:r>
      <w:r>
        <w:rPr>
          <w:rFonts w:hint="eastAsia" w:ascii="仿宋" w:hAnsi="仿宋" w:eastAsia="仿宋" w:cs="仿宋"/>
          <w:color w:val="auto"/>
          <w:sz w:val="21"/>
          <w:szCs w:val="21"/>
          <w:highlight w:val="none"/>
          <w:u w:val="none"/>
          <w:lang w:val="en-US" w:bidi="ar-SA"/>
        </w:rPr>
        <w:t>在化妆品中可用做</w:t>
      </w:r>
      <w:r>
        <w:rPr>
          <w:rFonts w:hint="eastAsia" w:ascii="仿宋" w:hAnsi="仿宋" w:eastAsia="仿宋" w:cs="仿宋"/>
          <w:color w:val="auto"/>
          <w:sz w:val="21"/>
          <w:szCs w:val="21"/>
          <w:highlight w:val="none"/>
          <w:u w:val="none"/>
          <w:lang w:val="en-US" w:eastAsia="zh-CN" w:bidi="ar-SA"/>
        </w:rPr>
        <w:t>皮肤保护</w:t>
      </w:r>
      <w:r>
        <w:rPr>
          <w:rFonts w:hint="eastAsia" w:ascii="仿宋" w:hAnsi="仿宋" w:eastAsia="仿宋" w:cs="仿宋"/>
          <w:color w:val="auto"/>
          <w:sz w:val="21"/>
          <w:szCs w:val="21"/>
          <w:highlight w:val="none"/>
          <w:u w:val="none"/>
          <w:lang w:val="en-US" w:bidi="ar-SA"/>
        </w:rPr>
        <w:t>剂</w:t>
      </w:r>
      <w:r>
        <w:rPr>
          <w:rFonts w:hint="eastAsia" w:ascii="仿宋" w:hAnsi="仿宋" w:eastAsia="仿宋" w:cs="仿宋"/>
          <w:color w:val="auto"/>
          <w:sz w:val="21"/>
          <w:szCs w:val="21"/>
          <w:highlight w:val="none"/>
          <w:u w:val="none"/>
          <w:lang w:val="en-US" w:eastAsia="zh-CN" w:bidi="ar-SA"/>
        </w:rPr>
        <w:t>、保湿剂、抗皱剂，具有紧致和抗衰老的功效。</w:t>
      </w:r>
    </w:p>
    <w:p>
      <w:pPr>
        <w:pStyle w:val="10"/>
        <w:shd w:val="clear" w:color="auto" w:fill="FFFFFF"/>
        <w:spacing w:before="0" w:beforeAutospacing="0" w:after="0" w:afterAutospacing="0" w:line="360" w:lineRule="auto"/>
        <w:ind w:firstLine="420" w:firstLineChars="200"/>
        <w:rPr>
          <w:rFonts w:hint="eastAsia" w:ascii="仿宋" w:hAnsi="仿宋" w:eastAsia="仿宋" w:cs="仿宋"/>
          <w:color w:val="auto"/>
          <w:kern w:val="2"/>
          <w:sz w:val="21"/>
          <w:szCs w:val="21"/>
          <w:highlight w:val="none"/>
          <w:u w:val="none"/>
        </w:rPr>
      </w:pPr>
      <w:r>
        <w:rPr>
          <w:rFonts w:hint="eastAsia" w:ascii="仿宋" w:hAnsi="仿宋" w:eastAsia="仿宋" w:cs="仿宋"/>
          <w:color w:val="auto"/>
          <w:kern w:val="2"/>
          <w:sz w:val="21"/>
          <w:szCs w:val="21"/>
          <w:highlight w:val="none"/>
          <w:u w:val="none"/>
          <w:lang w:val="en-US" w:eastAsia="zh-CN" w:bidi="ar-SA"/>
        </w:rPr>
        <w:t>六肽-11原料</w:t>
      </w:r>
      <w:r>
        <w:rPr>
          <w:rFonts w:hint="eastAsia" w:ascii="仿宋" w:hAnsi="仿宋" w:eastAsia="仿宋" w:cs="仿宋"/>
          <w:color w:val="auto"/>
          <w:kern w:val="2"/>
          <w:sz w:val="21"/>
          <w:szCs w:val="21"/>
          <w:highlight w:val="none"/>
          <w:u w:val="none"/>
        </w:rPr>
        <w:t>具有良好的安全性、有效性、稳定性和配伍相容性，其在化妆品中的使用迅速增多</w:t>
      </w:r>
      <w:r>
        <w:rPr>
          <w:rFonts w:hint="eastAsia" w:ascii="仿宋" w:hAnsi="仿宋" w:eastAsia="仿宋" w:cs="仿宋"/>
          <w:color w:val="auto"/>
          <w:kern w:val="2"/>
          <w:sz w:val="21"/>
          <w:szCs w:val="21"/>
          <w:highlight w:val="none"/>
          <w:u w:val="none"/>
          <w:lang w:eastAsia="zh-CN"/>
        </w:rPr>
        <w:t>。</w:t>
      </w:r>
      <w:r>
        <w:rPr>
          <w:rFonts w:hint="eastAsia" w:ascii="仿宋" w:hAnsi="仿宋" w:eastAsia="仿宋" w:cs="仿宋"/>
          <w:color w:val="auto"/>
          <w:kern w:val="2"/>
          <w:sz w:val="21"/>
          <w:szCs w:val="21"/>
          <w:highlight w:val="none"/>
          <w:u w:val="none"/>
          <w:lang w:val="en-US" w:eastAsia="zh-CN"/>
        </w:rPr>
        <w:t>但是，六肽-11</w:t>
      </w:r>
      <w:r>
        <w:rPr>
          <w:rFonts w:hint="eastAsia" w:ascii="仿宋" w:hAnsi="仿宋" w:eastAsia="仿宋" w:cs="仿宋"/>
          <w:color w:val="auto"/>
          <w:kern w:val="2"/>
          <w:sz w:val="21"/>
          <w:szCs w:val="21"/>
          <w:highlight w:val="none"/>
          <w:u w:val="none"/>
          <w:lang w:val="en-US" w:eastAsia="zh-CN" w:bidi="ar-SA"/>
        </w:rPr>
        <w:t>除企业标准外，</w:t>
      </w:r>
      <w:r>
        <w:rPr>
          <w:rFonts w:hint="eastAsia" w:ascii="仿宋" w:hAnsi="仿宋" w:eastAsia="仿宋" w:cs="仿宋"/>
          <w:color w:val="auto"/>
          <w:kern w:val="2"/>
          <w:sz w:val="21"/>
          <w:szCs w:val="21"/>
          <w:highlight w:val="none"/>
          <w:u w:val="none"/>
          <w:lang w:val="en-US" w:eastAsia="zh-CN"/>
        </w:rPr>
        <w:t>目前还</w:t>
      </w:r>
      <w:r>
        <w:rPr>
          <w:rFonts w:hint="eastAsia" w:ascii="仿宋" w:hAnsi="仿宋" w:eastAsia="仿宋" w:cs="仿宋"/>
          <w:color w:val="auto"/>
          <w:kern w:val="2"/>
          <w:sz w:val="21"/>
          <w:szCs w:val="21"/>
          <w:highlight w:val="none"/>
          <w:u w:val="none"/>
        </w:rPr>
        <w:t>没有较为统一的质量</w:t>
      </w:r>
      <w:r>
        <w:rPr>
          <w:rFonts w:hint="eastAsia" w:ascii="仿宋" w:hAnsi="仿宋" w:eastAsia="仿宋" w:cs="仿宋"/>
          <w:color w:val="auto"/>
          <w:kern w:val="2"/>
          <w:sz w:val="21"/>
          <w:szCs w:val="21"/>
          <w:highlight w:val="none"/>
          <w:u w:val="none"/>
          <w:lang w:val="en-US" w:eastAsia="zh-CN"/>
        </w:rPr>
        <w:t>标准规范</w:t>
      </w:r>
      <w:r>
        <w:rPr>
          <w:rFonts w:hint="eastAsia" w:ascii="仿宋" w:hAnsi="仿宋" w:eastAsia="仿宋" w:cs="仿宋"/>
          <w:color w:val="auto"/>
          <w:kern w:val="2"/>
          <w:sz w:val="21"/>
          <w:szCs w:val="21"/>
          <w:highlight w:val="none"/>
          <w:u w:val="none"/>
          <w:lang w:eastAsia="zh-CN"/>
        </w:rPr>
        <w:t>，</w:t>
      </w:r>
      <w:r>
        <w:rPr>
          <w:rFonts w:hint="eastAsia" w:ascii="仿宋" w:hAnsi="仿宋" w:eastAsia="仿宋" w:cs="仿宋"/>
          <w:color w:val="auto"/>
          <w:kern w:val="2"/>
          <w:sz w:val="21"/>
          <w:szCs w:val="21"/>
          <w:highlight w:val="none"/>
          <w:u w:val="none"/>
          <w:lang w:val="en-US" w:eastAsia="zh-CN"/>
        </w:rPr>
        <w:t>原料的质量和功效是化妆品安全和功效的基础和保障，</w:t>
      </w:r>
      <w:r>
        <w:rPr>
          <w:rFonts w:hint="eastAsia" w:ascii="仿宋" w:hAnsi="仿宋" w:eastAsia="仿宋" w:cs="仿宋"/>
          <w:color w:val="auto"/>
          <w:kern w:val="2"/>
          <w:sz w:val="21"/>
          <w:szCs w:val="21"/>
          <w:highlight w:val="none"/>
          <w:u w:val="none"/>
        </w:rPr>
        <w:t>因此，</w:t>
      </w:r>
      <w:r>
        <w:rPr>
          <w:rFonts w:hint="eastAsia" w:ascii="仿宋" w:hAnsi="仿宋" w:eastAsia="仿宋" w:cs="仿宋"/>
          <w:color w:val="auto"/>
          <w:kern w:val="2"/>
          <w:sz w:val="21"/>
          <w:szCs w:val="21"/>
          <w:highlight w:val="none"/>
          <w:u w:val="none"/>
          <w:lang w:val="en-US" w:eastAsia="zh-CN"/>
        </w:rPr>
        <w:t>为落实《化妆品监督管理办法》规定，从源头把控化妆品的安全和功效，</w:t>
      </w:r>
      <w:r>
        <w:rPr>
          <w:rFonts w:hint="eastAsia" w:ascii="仿宋" w:hAnsi="仿宋" w:eastAsia="仿宋" w:cs="仿宋"/>
          <w:color w:val="auto"/>
          <w:kern w:val="2"/>
          <w:sz w:val="21"/>
          <w:szCs w:val="21"/>
          <w:highlight w:val="none"/>
          <w:u w:val="none"/>
        </w:rPr>
        <w:t>经</w:t>
      </w:r>
      <w:r>
        <w:rPr>
          <w:rFonts w:hint="eastAsia" w:ascii="仿宋" w:hAnsi="仿宋" w:eastAsia="仿宋" w:cs="仿宋"/>
          <w:color w:val="auto"/>
          <w:spacing w:val="0"/>
          <w:w w:val="100"/>
          <w:kern w:val="2"/>
          <w:position w:val="0"/>
          <w:sz w:val="21"/>
          <w:szCs w:val="21"/>
          <w:highlight w:val="none"/>
          <w:u w:val="none"/>
          <w:lang w:eastAsia="zh-CN"/>
        </w:rPr>
        <w:t>山东济肽生物科技有限公司</w:t>
      </w:r>
      <w:r>
        <w:rPr>
          <w:rFonts w:hint="eastAsia" w:ascii="仿宋" w:hAnsi="仿宋" w:eastAsia="仿宋" w:cs="仿宋"/>
          <w:color w:val="auto"/>
          <w:kern w:val="2"/>
          <w:sz w:val="21"/>
          <w:szCs w:val="21"/>
          <w:highlight w:val="none"/>
          <w:u w:val="none"/>
        </w:rPr>
        <w:t xml:space="preserve">提案，中国香料香精化妆品工业协会提出制定《化妆品用原料 </w:t>
      </w:r>
      <w:r>
        <w:rPr>
          <w:rFonts w:hint="eastAsia" w:ascii="仿宋" w:hAnsi="仿宋" w:eastAsia="仿宋" w:cs="仿宋"/>
          <w:color w:val="auto"/>
          <w:kern w:val="2"/>
          <w:sz w:val="21"/>
          <w:szCs w:val="21"/>
          <w:highlight w:val="none"/>
          <w:u w:val="none"/>
          <w:lang w:val="en-US" w:eastAsia="zh-CN"/>
        </w:rPr>
        <w:t>六肽-11</w:t>
      </w:r>
      <w:r>
        <w:rPr>
          <w:rFonts w:hint="eastAsia" w:ascii="仿宋" w:hAnsi="仿宋" w:eastAsia="仿宋" w:cs="仿宋"/>
          <w:color w:val="auto"/>
          <w:kern w:val="2"/>
          <w:sz w:val="21"/>
          <w:szCs w:val="21"/>
          <w:highlight w:val="none"/>
          <w:u w:val="none"/>
        </w:rPr>
        <w:t>》团体标准，经立项公示通过立项，组织制定工作。</w:t>
      </w:r>
    </w:p>
    <w:p>
      <w:pPr>
        <w:pStyle w:val="10"/>
        <w:shd w:val="clear" w:color="auto" w:fill="FFFFFF"/>
        <w:spacing w:before="0" w:beforeAutospacing="0" w:after="0" w:afterAutospacing="0" w:line="360" w:lineRule="auto"/>
        <w:ind w:firstLine="420" w:firstLineChars="200"/>
        <w:rPr>
          <w:rFonts w:hint="eastAsia" w:ascii="仿宋" w:hAnsi="仿宋" w:eastAsia="仿宋" w:cs="仿宋"/>
          <w:color w:val="auto"/>
          <w:kern w:val="2"/>
          <w:sz w:val="21"/>
          <w:szCs w:val="21"/>
          <w:highlight w:val="none"/>
          <w:u w:val="none"/>
        </w:rPr>
      </w:pPr>
      <w:r>
        <w:rPr>
          <w:rFonts w:hint="eastAsia" w:ascii="仿宋" w:hAnsi="仿宋" w:eastAsia="仿宋" w:cs="仿宋"/>
          <w:color w:val="auto"/>
          <w:kern w:val="2"/>
          <w:sz w:val="21"/>
          <w:szCs w:val="21"/>
          <w:highlight w:val="none"/>
          <w:u w:val="none"/>
        </w:rPr>
        <w:t>由于此产品目前国内外没有相关的法规标准，本标准起草制定参照《中华人民共和国药典》2020年版和《化妆品安全技术规范》2015年版进行编制。</w:t>
      </w:r>
    </w:p>
    <w:p>
      <w:pPr>
        <w:spacing w:line="360" w:lineRule="auto"/>
        <w:rPr>
          <w:rFonts w:ascii="Times New Roman" w:hAnsi="Times New Roman" w:eastAsia="宋体" w:cs="Times New Roman"/>
          <w:b/>
          <w:bCs/>
          <w:color w:val="auto"/>
          <w:sz w:val="28"/>
          <w:szCs w:val="28"/>
          <w:highlight w:val="none"/>
        </w:rPr>
      </w:pPr>
      <w:r>
        <w:rPr>
          <w:rFonts w:ascii="Times New Roman" w:hAnsi="Times New Roman" w:eastAsia="宋体" w:cs="Times New Roman"/>
          <w:b/>
          <w:bCs/>
          <w:color w:val="auto"/>
          <w:sz w:val="24"/>
          <w:szCs w:val="24"/>
          <w:highlight w:val="none"/>
        </w:rPr>
        <w:t>1．工作来源</w:t>
      </w:r>
    </w:p>
    <w:p>
      <w:pPr>
        <w:spacing w:line="360" w:lineRule="auto"/>
        <w:ind w:firstLine="420" w:firstLineChars="200"/>
        <w:rPr>
          <w:rFonts w:ascii="Times New Roman" w:hAnsi="Times New Roman" w:eastAsia="宋体" w:cs="Times New Roman"/>
          <w:color w:val="auto"/>
          <w:sz w:val="24"/>
          <w:szCs w:val="24"/>
          <w:highlight w:val="none"/>
        </w:rPr>
      </w:pPr>
      <w:r>
        <w:rPr>
          <w:rFonts w:hint="eastAsia" w:ascii="仿宋" w:hAnsi="仿宋" w:eastAsia="仿宋" w:cs="仿宋"/>
          <w:color w:val="auto"/>
          <w:sz w:val="21"/>
          <w:szCs w:val="21"/>
          <w:highlight w:val="none"/>
        </w:rPr>
        <w:t>202</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rPr>
        <w:t>月，本团体标准经中国香料香精化妆品工业协会审议通过立项，通知见《关于202</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年中国香料香精化妆品工业协会团体标准（第</w:t>
      </w:r>
      <w:r>
        <w:rPr>
          <w:rFonts w:hint="eastAsia" w:ascii="仿宋" w:hAnsi="仿宋" w:eastAsia="仿宋" w:cs="仿宋"/>
          <w:color w:val="auto"/>
          <w:sz w:val="21"/>
          <w:szCs w:val="21"/>
          <w:highlight w:val="none"/>
          <w:lang w:val="en-US" w:eastAsia="zh-CN"/>
        </w:rPr>
        <w:t>四</w:t>
      </w:r>
      <w:r>
        <w:rPr>
          <w:rFonts w:hint="eastAsia" w:ascii="仿宋" w:hAnsi="仿宋" w:eastAsia="仿宋" w:cs="仿宋"/>
          <w:color w:val="auto"/>
          <w:sz w:val="21"/>
          <w:szCs w:val="21"/>
          <w:highlight w:val="none"/>
        </w:rPr>
        <w:t>批）立项公示的通知》。</w:t>
      </w:r>
    </w:p>
    <w:p>
      <w:pPr>
        <w:pStyle w:val="27"/>
        <w:numPr>
          <w:ilvl w:val="0"/>
          <w:numId w:val="1"/>
        </w:numPr>
        <w:spacing w:line="360" w:lineRule="auto"/>
        <w:ind w:firstLineChars="0"/>
        <w:rPr>
          <w:rFonts w:ascii="Times New Roman" w:hAnsi="Times New Roman" w:eastAsia="宋体" w:cs="Times New Roman"/>
          <w:b/>
          <w:bCs/>
          <w:color w:val="auto"/>
          <w:sz w:val="24"/>
          <w:szCs w:val="24"/>
          <w:highlight w:val="none"/>
        </w:rPr>
      </w:pPr>
      <w:r>
        <w:rPr>
          <w:rFonts w:ascii="Times New Roman" w:hAnsi="Times New Roman" w:eastAsia="宋体" w:cs="Times New Roman"/>
          <w:b/>
          <w:bCs/>
          <w:color w:val="auto"/>
          <w:sz w:val="24"/>
          <w:szCs w:val="24"/>
          <w:highlight w:val="none"/>
        </w:rPr>
        <w:t>起草单位与主要起草人</w:t>
      </w:r>
    </w:p>
    <w:p>
      <w:pPr>
        <w:spacing w:line="360" w:lineRule="auto"/>
        <w:rPr>
          <w:rFonts w:hint="eastAsia" w:ascii="仿宋" w:hAnsi="仿宋" w:eastAsia="仿宋" w:cs="仿宋"/>
          <w:color w:val="auto"/>
          <w:spacing w:val="0"/>
          <w:w w:val="100"/>
          <w:position w:val="0"/>
          <w:sz w:val="21"/>
          <w:szCs w:val="21"/>
          <w:highlight w:val="none"/>
          <w:lang w:eastAsia="zh-CN"/>
        </w:rPr>
      </w:pPr>
      <w:r>
        <w:rPr>
          <w:rFonts w:hint="eastAsia" w:ascii="仿宋" w:hAnsi="仿宋" w:eastAsia="仿宋" w:cs="仿宋"/>
          <w:color w:val="auto"/>
          <w:sz w:val="21"/>
          <w:szCs w:val="21"/>
          <w:highlight w:val="none"/>
        </w:rPr>
        <w:t>主要起草单位：</w:t>
      </w:r>
      <w:r>
        <w:rPr>
          <w:rFonts w:hint="eastAsia" w:ascii="仿宋" w:hAnsi="仿宋" w:eastAsia="仿宋" w:cs="仿宋"/>
          <w:color w:val="auto"/>
          <w:spacing w:val="0"/>
          <w:w w:val="100"/>
          <w:position w:val="0"/>
          <w:sz w:val="21"/>
          <w:szCs w:val="21"/>
          <w:highlight w:val="none"/>
          <w:lang w:eastAsia="zh-CN"/>
        </w:rPr>
        <w:t>山东济肽生物科技有限公司</w:t>
      </w:r>
    </w:p>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协作起草单位：北京贝丽莱斯生物科技有限公司</w:t>
      </w:r>
    </w:p>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主要起草成员：</w:t>
      </w:r>
      <w:r>
        <w:rPr>
          <w:rFonts w:hint="eastAsia" w:ascii="仿宋" w:hAnsi="仿宋" w:eastAsia="仿宋" w:cs="仿宋"/>
          <w:color w:val="auto"/>
          <w:spacing w:val="0"/>
          <w:w w:val="100"/>
          <w:position w:val="0"/>
          <w:sz w:val="21"/>
          <w:szCs w:val="21"/>
          <w:highlight w:val="none"/>
          <w:lang w:val="en-US" w:eastAsia="zh-CN" w:bidi="zh-CN"/>
        </w:rPr>
        <w:t>于更立、董雪菊、李伦、李冉冉、苏超、韩慧林、张雷、郭秀茹、杨磊</w:t>
      </w:r>
      <w:r>
        <w:rPr>
          <w:rFonts w:hint="eastAsia" w:ascii="仿宋" w:hAnsi="仿宋" w:eastAsia="仿宋" w:cs="仿宋"/>
          <w:color w:val="auto"/>
          <w:sz w:val="21"/>
          <w:szCs w:val="21"/>
          <w:highlight w:val="none"/>
        </w:rPr>
        <w:t>。</w:t>
      </w:r>
    </w:p>
    <w:p>
      <w:pPr>
        <w:pStyle w:val="27"/>
        <w:numPr>
          <w:ilvl w:val="0"/>
          <w:numId w:val="1"/>
        </w:numPr>
        <w:spacing w:line="360" w:lineRule="auto"/>
        <w:ind w:firstLineChars="0"/>
        <w:rPr>
          <w:rFonts w:ascii="Times New Roman" w:hAnsi="Times New Roman" w:eastAsia="宋体" w:cs="Times New Roman"/>
          <w:b/>
          <w:bCs/>
          <w:color w:val="auto"/>
          <w:sz w:val="24"/>
          <w:szCs w:val="24"/>
          <w:highlight w:val="none"/>
        </w:rPr>
      </w:pPr>
      <w:r>
        <w:rPr>
          <w:rFonts w:ascii="Times New Roman" w:hAnsi="Times New Roman" w:eastAsia="宋体" w:cs="Times New Roman"/>
          <w:b/>
          <w:bCs/>
          <w:color w:val="auto"/>
          <w:sz w:val="24"/>
          <w:szCs w:val="24"/>
          <w:highlight w:val="none"/>
        </w:rPr>
        <w:t>主要工作过程</w:t>
      </w:r>
    </w:p>
    <w:p>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202</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月，</w:t>
      </w:r>
      <w:r>
        <w:rPr>
          <w:rFonts w:hint="eastAsia" w:ascii="仿宋" w:hAnsi="仿宋" w:eastAsia="仿宋" w:cs="仿宋"/>
          <w:color w:val="auto"/>
          <w:spacing w:val="0"/>
          <w:w w:val="100"/>
          <w:position w:val="0"/>
          <w:sz w:val="21"/>
          <w:szCs w:val="21"/>
          <w:highlight w:val="none"/>
          <w:lang w:eastAsia="zh-CN"/>
        </w:rPr>
        <w:t>山东济肽生物科技有限公司</w:t>
      </w:r>
      <w:r>
        <w:rPr>
          <w:rFonts w:hint="eastAsia" w:ascii="仿宋" w:hAnsi="仿宋" w:eastAsia="仿宋" w:cs="仿宋"/>
          <w:color w:val="auto"/>
          <w:sz w:val="21"/>
          <w:szCs w:val="21"/>
          <w:highlight w:val="none"/>
        </w:rPr>
        <w:t>作为立项申请人向中国香料香精化妆品工业协会提出《化妆品</w:t>
      </w:r>
      <w:r>
        <w:rPr>
          <w:rFonts w:hint="eastAsia" w:ascii="仿宋" w:hAnsi="仿宋" w:eastAsia="仿宋" w:cs="仿宋"/>
          <w:color w:val="auto"/>
          <w:sz w:val="21"/>
          <w:szCs w:val="21"/>
          <w:highlight w:val="none"/>
          <w:lang w:val="en-US" w:eastAsia="zh-CN"/>
        </w:rPr>
        <w:t>原料</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六肽-11</w:t>
      </w:r>
      <w:r>
        <w:rPr>
          <w:rFonts w:hint="eastAsia" w:ascii="仿宋" w:hAnsi="仿宋" w:eastAsia="仿宋" w:cs="仿宋"/>
          <w:color w:val="auto"/>
          <w:sz w:val="21"/>
          <w:szCs w:val="21"/>
          <w:highlight w:val="none"/>
        </w:rPr>
        <w:t>》团体标准立项提案。</w:t>
      </w:r>
    </w:p>
    <w:p>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202</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15</w:t>
      </w:r>
      <w:r>
        <w:rPr>
          <w:rFonts w:hint="eastAsia" w:ascii="仿宋" w:hAnsi="仿宋" w:eastAsia="仿宋" w:cs="仿宋"/>
          <w:color w:val="auto"/>
          <w:sz w:val="21"/>
          <w:szCs w:val="21"/>
          <w:highlight w:val="none"/>
        </w:rPr>
        <w:t>日，经中国香料香精化妆品工业协会初审并征求行业专家立项论证和审核，《化妆品</w:t>
      </w:r>
      <w:r>
        <w:rPr>
          <w:rFonts w:hint="eastAsia" w:ascii="仿宋" w:hAnsi="仿宋" w:eastAsia="仿宋" w:cs="仿宋"/>
          <w:color w:val="auto"/>
          <w:sz w:val="21"/>
          <w:szCs w:val="21"/>
          <w:highlight w:val="none"/>
          <w:lang w:val="en-US" w:eastAsia="zh-CN"/>
        </w:rPr>
        <w:t>原料</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六肽-11</w:t>
      </w:r>
      <w:r>
        <w:rPr>
          <w:rFonts w:hint="eastAsia" w:ascii="仿宋" w:hAnsi="仿宋" w:eastAsia="仿宋" w:cs="仿宋"/>
          <w:color w:val="auto"/>
          <w:sz w:val="21"/>
          <w:szCs w:val="21"/>
          <w:highlight w:val="none"/>
        </w:rPr>
        <w:t>》团体标准正式获批立项，并在协会官方网站进行了为期</w:t>
      </w:r>
      <w:r>
        <w:rPr>
          <w:rFonts w:hint="eastAsia" w:ascii="仿宋" w:hAnsi="仿宋" w:eastAsia="仿宋" w:cs="仿宋"/>
          <w:color w:val="auto"/>
          <w:sz w:val="21"/>
          <w:szCs w:val="21"/>
          <w:highlight w:val="none"/>
          <w:lang w:val="en-US" w:eastAsia="zh-CN"/>
        </w:rPr>
        <w:t>15</w:t>
      </w:r>
      <w:r>
        <w:rPr>
          <w:rFonts w:hint="eastAsia" w:ascii="仿宋" w:hAnsi="仿宋" w:eastAsia="仿宋" w:cs="仿宋"/>
          <w:color w:val="auto"/>
          <w:sz w:val="21"/>
          <w:szCs w:val="21"/>
          <w:highlight w:val="none"/>
        </w:rPr>
        <w:t>日的公示。</w:t>
      </w:r>
    </w:p>
    <w:p>
      <w:pPr>
        <w:pStyle w:val="27"/>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本标准由</w:t>
      </w:r>
      <w:r>
        <w:rPr>
          <w:rFonts w:hint="eastAsia" w:ascii="仿宋" w:hAnsi="仿宋" w:eastAsia="仿宋" w:cs="仿宋"/>
          <w:color w:val="auto"/>
          <w:spacing w:val="0"/>
          <w:w w:val="100"/>
          <w:position w:val="0"/>
          <w:sz w:val="21"/>
          <w:szCs w:val="21"/>
          <w:highlight w:val="none"/>
          <w:lang w:eastAsia="zh-CN"/>
        </w:rPr>
        <w:t>山东济肽生物科技有限公司</w:t>
      </w:r>
      <w:r>
        <w:rPr>
          <w:rFonts w:hint="eastAsia" w:ascii="仿宋" w:hAnsi="仿宋" w:eastAsia="仿宋" w:cs="仿宋"/>
          <w:color w:val="auto"/>
          <w:sz w:val="21"/>
          <w:szCs w:val="21"/>
          <w:highlight w:val="none"/>
        </w:rPr>
        <w:t>主持起草。</w:t>
      </w:r>
    </w:p>
    <w:p>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本标准起草过程</w:t>
      </w:r>
      <w:r>
        <w:rPr>
          <w:rFonts w:hint="eastAsia" w:ascii="仿宋" w:hAnsi="仿宋" w:eastAsia="仿宋" w:cs="仿宋"/>
          <w:color w:val="auto"/>
          <w:sz w:val="21"/>
          <w:szCs w:val="21"/>
          <w:highlight w:val="none"/>
          <w:lang w:val="en-US" w:eastAsia="zh-CN"/>
        </w:rPr>
        <w:t>中</w:t>
      </w:r>
      <w:r>
        <w:rPr>
          <w:rFonts w:hint="eastAsia" w:ascii="仿宋" w:hAnsi="仿宋" w:eastAsia="仿宋" w:cs="仿宋"/>
          <w:color w:val="auto"/>
          <w:sz w:val="21"/>
          <w:szCs w:val="21"/>
          <w:highlight w:val="none"/>
        </w:rPr>
        <w:t>对市场上的产品进行收集，根据目前化妆品用原料的国内外相关标准要求，通过试验条件的摸索、方法建设及验证工作，确定该标准的检验方法和技术指标。并请</w:t>
      </w:r>
      <w:r>
        <w:rPr>
          <w:rFonts w:hint="eastAsia" w:ascii="仿宋" w:hAnsi="仿宋" w:eastAsia="仿宋" w:cs="仿宋"/>
          <w:color w:val="auto"/>
          <w:spacing w:val="0"/>
          <w:w w:val="100"/>
          <w:position w:val="0"/>
          <w:sz w:val="21"/>
          <w:szCs w:val="21"/>
          <w:highlight w:val="none"/>
          <w:lang w:val="en-US" w:eastAsia="zh-CN"/>
        </w:rPr>
        <w:t>山东省食品药品检验研究院国家药监局化妆品原料质量控制重点实验室（以下简称省院重点实验室）和</w:t>
      </w:r>
      <w:r>
        <w:rPr>
          <w:rFonts w:hint="eastAsia" w:ascii="仿宋" w:hAnsi="仿宋" w:eastAsia="仿宋" w:cs="仿宋"/>
          <w:color w:val="auto"/>
          <w:sz w:val="21"/>
          <w:szCs w:val="21"/>
          <w:highlight w:val="none"/>
          <w:lang w:val="en-US" w:eastAsia="zh-CN"/>
        </w:rPr>
        <w:t>北京贝丽莱斯生物科技有限公司</w:t>
      </w:r>
      <w:r>
        <w:rPr>
          <w:rFonts w:hint="eastAsia" w:ascii="仿宋" w:hAnsi="仿宋" w:eastAsia="仿宋" w:cs="仿宋"/>
          <w:color w:val="auto"/>
          <w:sz w:val="21"/>
          <w:szCs w:val="21"/>
          <w:highlight w:val="none"/>
        </w:rPr>
        <w:t>进行了</w:t>
      </w:r>
      <w:r>
        <w:rPr>
          <w:rFonts w:hint="eastAsia" w:ascii="仿宋" w:hAnsi="仿宋" w:eastAsia="仿宋" w:cs="仿宋"/>
          <w:color w:val="auto"/>
          <w:sz w:val="21"/>
          <w:szCs w:val="21"/>
          <w:highlight w:val="none"/>
          <w:lang w:val="en-US" w:eastAsia="zh-CN"/>
        </w:rPr>
        <w:t>复核</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复核</w:t>
      </w:r>
      <w:r>
        <w:rPr>
          <w:rFonts w:hint="eastAsia" w:ascii="仿宋" w:hAnsi="仿宋" w:eastAsia="仿宋" w:cs="仿宋"/>
          <w:color w:val="auto"/>
          <w:sz w:val="21"/>
          <w:szCs w:val="21"/>
          <w:highlight w:val="none"/>
        </w:rPr>
        <w:t>结果也显示检验方法和技术指标具有可行性。</w:t>
      </w:r>
    </w:p>
    <w:p>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目前起草工作组确定该标准的基本框架，包括：化妆品用原料</w:t>
      </w:r>
      <w:r>
        <w:rPr>
          <w:rFonts w:hint="eastAsia" w:ascii="仿宋" w:hAnsi="仿宋" w:eastAsia="仿宋" w:cs="仿宋"/>
          <w:color w:val="auto"/>
          <w:sz w:val="21"/>
          <w:szCs w:val="21"/>
          <w:highlight w:val="none"/>
          <w:lang w:val="en-US" w:eastAsia="zh-CN"/>
        </w:rPr>
        <w:t>六肽-11</w:t>
      </w:r>
      <w:r>
        <w:rPr>
          <w:rFonts w:hint="eastAsia" w:ascii="仿宋" w:hAnsi="仿宋" w:eastAsia="仿宋" w:cs="仿宋"/>
          <w:color w:val="auto"/>
          <w:sz w:val="21"/>
          <w:szCs w:val="21"/>
          <w:highlight w:val="none"/>
        </w:rPr>
        <w:t>的要求、试验方法、检验规则以及包装、标志、运输和贮存、保质期等内容，形成标准草案的基本框架，于202</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月初完成征求意见稿。</w:t>
      </w:r>
    </w:p>
    <w:p>
      <w:pPr>
        <w:keepNext w:val="0"/>
        <w:keepLines w:val="0"/>
        <w:widowControl/>
        <w:suppressLineNumbers w:val="0"/>
        <w:spacing w:line="360" w:lineRule="auto"/>
        <w:jc w:val="left"/>
        <w:rPr>
          <w:rFonts w:hint="eastAsia"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rPr>
        <w:t>二、与我国有关法律法规和其他标准的关系</w:t>
      </w:r>
    </w:p>
    <w:p>
      <w:pPr>
        <w:pStyle w:val="10"/>
        <w:shd w:val="clear" w:color="auto" w:fill="FFFFFF"/>
        <w:spacing w:before="0" w:beforeAutospacing="0" w:after="0" w:afterAutospacing="0" w:line="360" w:lineRule="auto"/>
        <w:ind w:firstLine="420" w:firstLineChars="200"/>
        <w:rPr>
          <w:rFonts w:hint="eastAsia" w:ascii="仿宋" w:hAnsi="仿宋" w:eastAsia="仿宋" w:cs="仿宋"/>
          <w:b/>
          <w:bCs/>
          <w:color w:val="auto"/>
          <w:sz w:val="21"/>
          <w:szCs w:val="21"/>
          <w:highlight w:val="none"/>
          <w:lang w:val="en-US"/>
        </w:rPr>
      </w:pPr>
      <w:r>
        <w:rPr>
          <w:rFonts w:hint="eastAsia" w:ascii="仿宋" w:hAnsi="仿宋" w:eastAsia="仿宋" w:cs="仿宋"/>
          <w:color w:val="auto"/>
          <w:sz w:val="21"/>
          <w:szCs w:val="21"/>
          <w:highlight w:val="none"/>
          <w:lang w:val="en-US" w:eastAsia="zh-CN"/>
        </w:rPr>
        <w:t>目前，六肽-11原料标准除企业标准外，还没有公开的国家标准、行业标准或团体标准。本标准指标参照《中华人民共和国药典》2020年版和《化妆品安全技术规范》2015年版，结合行业其他化妆品原料标准进行编制。</w:t>
      </w:r>
    </w:p>
    <w:p>
      <w:pPr>
        <w:keepNext w:val="0"/>
        <w:keepLines w:val="0"/>
        <w:widowControl/>
        <w:suppressLineNumbers w:val="0"/>
        <w:spacing w:line="360" w:lineRule="auto"/>
        <w:jc w:val="left"/>
        <w:rPr>
          <w:rFonts w:hint="eastAsia"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三、</w:t>
      </w:r>
      <w:r>
        <w:rPr>
          <w:rFonts w:hint="eastAsia" w:ascii="Times New Roman" w:hAnsi="Times New Roman" w:eastAsia="宋体" w:cs="Times New Roman"/>
          <w:b/>
          <w:bCs/>
          <w:color w:val="auto"/>
          <w:sz w:val="24"/>
          <w:szCs w:val="24"/>
          <w:highlight w:val="none"/>
        </w:rPr>
        <w:t>国外有关法律、法规和标准情况的说明</w:t>
      </w:r>
    </w:p>
    <w:p>
      <w:pPr>
        <w:pStyle w:val="10"/>
        <w:shd w:val="clear" w:color="auto" w:fill="FFFFFF"/>
        <w:spacing w:before="0" w:beforeAutospacing="0" w:after="0" w:afterAutospacing="0" w:line="360" w:lineRule="auto"/>
        <w:ind w:firstLine="420" w:firstLineChars="200"/>
        <w:rPr>
          <w:rFonts w:hint="eastAsia" w:ascii="仿宋" w:hAnsi="仿宋" w:eastAsia="仿宋" w:cs="仿宋"/>
          <w:color w:val="auto"/>
          <w:sz w:val="21"/>
          <w:szCs w:val="21"/>
          <w:highlight w:val="none"/>
          <w:lang w:val="en-US" w:eastAsia="zh-CN"/>
        </w:rPr>
      </w:pPr>
      <w:bookmarkStart w:id="0" w:name="OLE_LINK9"/>
      <w:r>
        <w:rPr>
          <w:rFonts w:hint="eastAsia" w:ascii="仿宋" w:hAnsi="仿宋" w:eastAsia="仿宋" w:cs="仿宋"/>
          <w:color w:val="auto"/>
          <w:sz w:val="21"/>
          <w:szCs w:val="21"/>
          <w:highlight w:val="none"/>
          <w:lang w:val="en-US" w:eastAsia="zh-CN"/>
        </w:rPr>
        <w:t>目前，六肽-11原料国外没有公开的标准。</w:t>
      </w:r>
    </w:p>
    <w:bookmarkEnd w:id="0"/>
    <w:p>
      <w:pPr>
        <w:spacing w:line="360" w:lineRule="auto"/>
        <w:rPr>
          <w:rFonts w:ascii="Times New Roman" w:hAnsi="Times New Roman" w:eastAsia="宋体" w:cs="Times New Roman"/>
          <w:color w:val="auto"/>
          <w:sz w:val="24"/>
          <w:szCs w:val="24"/>
          <w:highlight w:val="none"/>
        </w:rPr>
      </w:pPr>
      <w:r>
        <w:rPr>
          <w:rFonts w:ascii="Times New Roman" w:hAnsi="Times New Roman" w:eastAsia="宋体" w:cs="Times New Roman"/>
          <w:b/>
          <w:bCs/>
          <w:color w:val="auto"/>
          <w:sz w:val="24"/>
          <w:szCs w:val="24"/>
          <w:highlight w:val="none"/>
        </w:rPr>
        <w:t>四、标准的制（修）订与起草原则</w:t>
      </w:r>
    </w:p>
    <w:p>
      <w:pPr>
        <w:spacing w:line="360" w:lineRule="auto"/>
        <w:ind w:firstLine="420" w:firstLineChars="200"/>
        <w:rPr>
          <w:rFonts w:hint="eastAsia" w:ascii="仿宋" w:hAnsi="仿宋" w:eastAsia="仿宋" w:cs="仿宋"/>
          <w:color w:val="auto"/>
          <w:spacing w:val="0"/>
          <w:w w:val="100"/>
          <w:position w:val="0"/>
          <w:sz w:val="21"/>
          <w:szCs w:val="21"/>
          <w:highlight w:val="none"/>
        </w:rPr>
      </w:pPr>
      <w:r>
        <w:rPr>
          <w:rFonts w:hint="eastAsia" w:ascii="仿宋" w:hAnsi="仿宋" w:eastAsia="仿宋" w:cs="仿宋"/>
          <w:color w:val="auto"/>
          <w:kern w:val="0"/>
          <w:sz w:val="21"/>
          <w:szCs w:val="21"/>
          <w:highlight w:val="none"/>
        </w:rPr>
        <w:t>本标准的制定符合产业发展的原则，本着先进性、科学性、合理性和可操作性的原则以及标准的目标、统一性、协调性、适用性、一致性和规范性原则来进行本标准的制定工作。</w:t>
      </w:r>
    </w:p>
    <w:p>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本标准起草过程中，主要依据《GB/T 1.1标准化工作导则 第1部分:标准化文件的结构和起草规则》进行编写。本标准制定过程中，主要参考了以下标准或文件：</w:t>
      </w:r>
    </w:p>
    <w:p>
      <w:pPr>
        <w:pStyle w:val="2"/>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《化妆品生产质量管理规范》（国家药品监督管理局公告2022年第</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号）</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GB/T 6283 化工产品中水分含量的测定 卡尔·费休法（通用方法） </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GB/T 6678  化工产品采样总则</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GB/T 6679 固体化工产品采样通则</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GB/T 6682 分析实验室用水规格和试验方法</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GB/T 191  包装储运图示标志</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QB/T 1685 化妆品产品包装外观要求</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《化妆品安全技术规范》（2015年版）</w:t>
      </w:r>
      <w:r>
        <w:rPr>
          <w:rFonts w:hint="eastAsia" w:ascii="仿宋" w:hAnsi="仿宋" w:eastAsia="仿宋" w:cs="仿宋"/>
          <w:color w:val="auto"/>
          <w:szCs w:val="21"/>
          <w:highlight w:val="none"/>
        </w:rPr>
        <w:t>（国家食品药品监督管理总局公告 2015 年第 268 号）</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《中华人民共和国药典》（2020版）</w:t>
      </w:r>
    </w:p>
    <w:p>
      <w:pPr>
        <w:pStyle w:val="3"/>
        <w:keepNext w:val="0"/>
        <w:keepLines w:val="0"/>
        <w:pageBreakBefore w:val="0"/>
        <w:widowControl w:val="0"/>
        <w:numPr>
          <w:ilvl w:val="0"/>
          <w:numId w:val="2"/>
        </w:numPr>
        <w:tabs>
          <w:tab w:val="left" w:pos="531"/>
        </w:tabs>
        <w:kinsoku/>
        <w:wordWrap/>
        <w:overflowPunct/>
        <w:topLinePunct w:val="0"/>
        <w:autoSpaceDE w:val="0"/>
        <w:autoSpaceDN w:val="0"/>
        <w:bidi w:val="0"/>
        <w:adjustRightInd/>
        <w:snapToGrid/>
        <w:spacing w:before="0" w:beforeLines="0" w:beforeAutospacing="0" w:after="0" w:afterLines="0" w:afterAutospacing="0" w:line="360" w:lineRule="auto"/>
        <w:ind w:leftChars="0" w:right="0" w:rightChars="0"/>
        <w:jc w:val="left"/>
        <w:textAlignment w:val="auto"/>
        <w:rPr>
          <w:rFonts w:ascii="Times New Roman" w:hAnsi="Times New Roman" w:eastAsia="宋体" w:cs="Times New Roman"/>
          <w:b/>
          <w:bCs/>
          <w:color w:val="auto"/>
          <w:sz w:val="24"/>
          <w:szCs w:val="24"/>
          <w:highlight w:val="none"/>
        </w:rPr>
      </w:pPr>
      <w:r>
        <w:rPr>
          <w:rFonts w:ascii="Times New Roman" w:hAnsi="Times New Roman" w:eastAsia="宋体" w:cs="Times New Roman"/>
          <w:b/>
          <w:bCs/>
          <w:color w:val="auto"/>
          <w:sz w:val="24"/>
          <w:szCs w:val="24"/>
          <w:highlight w:val="none"/>
        </w:rPr>
        <w:t>确定各项技术内容（如技术指标、参数、公式、试验方法、检验规则等）的依据（与国际相关标准的对比情况，与国际标准不一致的，应当提供科学依据）</w:t>
      </w:r>
    </w:p>
    <w:p>
      <w:pPr>
        <w:pStyle w:val="3"/>
        <w:keepNext w:val="0"/>
        <w:keepLines w:val="0"/>
        <w:pageBreakBefore w:val="0"/>
        <w:widowControl w:val="0"/>
        <w:numPr>
          <w:ilvl w:val="0"/>
          <w:numId w:val="0"/>
        </w:numPr>
        <w:tabs>
          <w:tab w:val="left" w:pos="531"/>
        </w:tabs>
        <w:kinsoku/>
        <w:wordWrap/>
        <w:overflowPunct/>
        <w:topLinePunct w:val="0"/>
        <w:autoSpaceDE w:val="0"/>
        <w:autoSpaceDN w:val="0"/>
        <w:bidi w:val="0"/>
        <w:adjustRightInd/>
        <w:snapToGrid/>
        <w:spacing w:before="0" w:beforeLines="0" w:beforeAutospacing="0" w:after="0" w:afterLines="0" w:afterAutospacing="0" w:line="360" w:lineRule="auto"/>
        <w:ind w:right="0" w:rightChars="0"/>
        <w:jc w:val="left"/>
        <w:textAlignment w:val="auto"/>
        <w:rPr>
          <w:rFonts w:hint="eastAsia" w:ascii="宋体" w:hAnsi="宋体" w:eastAsia="宋体" w:cs="宋体"/>
          <w:color w:val="auto"/>
          <w:spacing w:val="0"/>
          <w:w w:val="100"/>
          <w:position w:val="0"/>
          <w:sz w:val="24"/>
          <w:szCs w:val="24"/>
          <w:highlight w:val="none"/>
        </w:rPr>
      </w:pPr>
      <w:r>
        <w:rPr>
          <w:rFonts w:hint="eastAsia" w:ascii="仿宋" w:hAnsi="仿宋" w:eastAsia="仿宋" w:cs="仿宋"/>
          <w:bCs/>
          <w:color w:val="auto"/>
          <w:sz w:val="21"/>
          <w:szCs w:val="21"/>
          <w:highlight w:val="none"/>
          <w:lang w:val="en-US" w:eastAsia="zh-CN"/>
        </w:rPr>
        <w:t>1.</w:t>
      </w:r>
      <w:r>
        <w:rPr>
          <w:rFonts w:hint="eastAsia" w:ascii="仿宋" w:hAnsi="仿宋" w:eastAsia="仿宋" w:cs="仿宋"/>
          <w:bCs/>
          <w:color w:val="auto"/>
          <w:sz w:val="21"/>
          <w:szCs w:val="21"/>
          <w:highlight w:val="none"/>
        </w:rPr>
        <w:t>各项技术指标要求</w:t>
      </w:r>
    </w:p>
    <w:tbl>
      <w:tblPr>
        <w:tblStyle w:val="13"/>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048"/>
        <w:gridCol w:w="1969"/>
        <w:gridCol w:w="3409"/>
        <w:gridCol w:w="187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Align w:val="center"/>
          </w:tcPr>
          <w:p>
            <w:pPr>
              <w:snapToGrid w:val="0"/>
              <w:jc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指标</w:t>
            </w:r>
          </w:p>
        </w:tc>
        <w:tc>
          <w:tcPr>
            <w:tcW w:w="1969" w:type="dxa"/>
            <w:vAlign w:val="center"/>
          </w:tcPr>
          <w:p>
            <w:pPr>
              <w:snapToGrid w:val="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rPr>
              <w:t>本标准</w:t>
            </w:r>
            <w:r>
              <w:rPr>
                <w:rFonts w:hint="eastAsia" w:ascii="仿宋" w:hAnsi="仿宋" w:eastAsia="仿宋" w:cs="仿宋"/>
                <w:color w:val="auto"/>
                <w:sz w:val="18"/>
                <w:szCs w:val="18"/>
                <w:highlight w:val="none"/>
                <w:lang w:val="en-US" w:eastAsia="zh-CN"/>
              </w:rPr>
              <w:t>要求</w:t>
            </w:r>
          </w:p>
        </w:tc>
        <w:tc>
          <w:tcPr>
            <w:tcW w:w="3409" w:type="dxa"/>
            <w:vAlign w:val="center"/>
          </w:tcPr>
          <w:p>
            <w:pPr>
              <w:snapToGrid w:val="0"/>
              <w:jc w:val="center"/>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指标制定依据</w:t>
            </w:r>
          </w:p>
        </w:tc>
        <w:tc>
          <w:tcPr>
            <w:tcW w:w="1870" w:type="dxa"/>
            <w:vAlign w:val="center"/>
          </w:tcPr>
          <w:p>
            <w:pPr>
              <w:snapToGrid w:val="0"/>
              <w:jc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依据</w:t>
            </w:r>
            <w:r>
              <w:rPr>
                <w:rFonts w:hint="eastAsia" w:ascii="仿宋" w:hAnsi="仿宋" w:eastAsia="仿宋" w:cs="仿宋"/>
                <w:color w:val="auto"/>
                <w:sz w:val="18"/>
                <w:szCs w:val="18"/>
                <w:highlight w:val="none"/>
              </w:rPr>
              <w:t>名称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Align w:val="center"/>
          </w:tcPr>
          <w:p>
            <w:pPr>
              <w:snapToGrid w:val="0"/>
              <w:rPr>
                <w:rFonts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感官指标</w:t>
            </w:r>
          </w:p>
        </w:tc>
        <w:tc>
          <w:tcPr>
            <w:tcW w:w="1969" w:type="dxa"/>
            <w:vAlign w:val="center"/>
          </w:tcPr>
          <w:p>
            <w:pPr>
              <w:ind w:left="-34" w:leftChars="-17" w:hanging="2" w:firstLineChars="0"/>
              <w:rPr>
                <w:rFonts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性状</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pacing w:val="0"/>
                <w:sz w:val="18"/>
                <w:szCs w:val="18"/>
                <w:highlight w:val="none"/>
                <w:shd w:val="clear" w:color="auto" w:fill="FFFFFF"/>
                <w:lang w:val="en-US" w:eastAsia="zh-CN"/>
              </w:rPr>
              <w:t>白色或类白色粉末，轻微特征性气味</w:t>
            </w:r>
          </w:p>
        </w:tc>
        <w:tc>
          <w:tcPr>
            <w:tcW w:w="3409" w:type="dxa"/>
            <w:vAlign w:val="center"/>
          </w:tcPr>
          <w:p>
            <w:pPr>
              <w:ind w:left="-34" w:leftChars="-17" w:hanging="2"/>
              <w:jc w:val="left"/>
              <w:rPr>
                <w:rFonts w:ascii="仿宋" w:hAnsi="仿宋" w:eastAsia="仿宋" w:cs="仿宋"/>
                <w:color w:val="auto"/>
                <w:sz w:val="18"/>
                <w:szCs w:val="18"/>
                <w:highlight w:val="none"/>
              </w:rPr>
            </w:pPr>
            <w:r>
              <w:rPr>
                <w:rFonts w:hint="eastAsia" w:ascii="仿宋" w:hAnsi="仿宋" w:eastAsia="仿宋" w:cs="宋体"/>
                <w:color w:val="auto"/>
                <w:sz w:val="18"/>
                <w:szCs w:val="18"/>
                <w:highlight w:val="none"/>
              </w:rPr>
              <w:t>外观性状是对色泽和外表感观的规定</w:t>
            </w:r>
            <w:r>
              <w:rPr>
                <w:rFonts w:hint="eastAsia" w:ascii="仿宋" w:hAnsi="仿宋" w:eastAsia="仿宋" w:cs="宋体"/>
                <w:color w:val="auto"/>
                <w:sz w:val="18"/>
                <w:szCs w:val="18"/>
                <w:highlight w:val="none"/>
                <w:lang w:eastAsia="zh-CN"/>
              </w:rPr>
              <w:t>，</w:t>
            </w:r>
            <w:r>
              <w:rPr>
                <w:rFonts w:hint="eastAsia" w:ascii="仿宋" w:hAnsi="仿宋" w:eastAsia="仿宋" w:cs="宋体"/>
                <w:color w:val="auto"/>
                <w:sz w:val="18"/>
                <w:szCs w:val="18"/>
                <w:highlight w:val="none"/>
              </w:rPr>
              <w:t>根据</w:t>
            </w:r>
            <w:r>
              <w:rPr>
                <w:rFonts w:hint="eastAsia" w:ascii="仿宋" w:hAnsi="仿宋" w:eastAsia="仿宋" w:cs="宋体"/>
                <w:color w:val="auto"/>
                <w:sz w:val="18"/>
                <w:szCs w:val="18"/>
                <w:highlight w:val="none"/>
                <w:lang w:val="en-US" w:eastAsia="zh-CN"/>
              </w:rPr>
              <w:t>本</w:t>
            </w:r>
            <w:r>
              <w:rPr>
                <w:rFonts w:hint="eastAsia" w:ascii="仿宋" w:hAnsi="仿宋" w:eastAsia="仿宋" w:cs="宋体"/>
                <w:color w:val="auto"/>
                <w:sz w:val="18"/>
                <w:szCs w:val="18"/>
                <w:highlight w:val="none"/>
              </w:rPr>
              <w:t>品的理化特性制定本指标</w:t>
            </w:r>
            <w:r>
              <w:rPr>
                <w:rFonts w:hint="eastAsia" w:ascii="仿宋" w:hAnsi="仿宋" w:eastAsia="仿宋" w:cs="宋体"/>
                <w:color w:val="auto"/>
                <w:sz w:val="18"/>
                <w:szCs w:val="18"/>
                <w:highlight w:val="none"/>
                <w:lang w:eastAsia="zh-CN"/>
              </w:rPr>
              <w:t>。</w:t>
            </w:r>
          </w:p>
        </w:tc>
        <w:tc>
          <w:tcPr>
            <w:tcW w:w="1870" w:type="dxa"/>
            <w:vAlign w:val="center"/>
          </w:tcPr>
          <w:p>
            <w:pPr>
              <w:ind w:left="-34" w:leftChars="-17" w:hanging="2"/>
              <w:jc w:val="left"/>
              <w:rPr>
                <w:rFonts w:ascii="仿宋" w:hAnsi="仿宋" w:eastAsia="仿宋" w:cs="仿宋"/>
                <w:color w:val="auto"/>
                <w:sz w:val="18"/>
                <w:szCs w:val="18"/>
                <w:highlight w:val="none"/>
              </w:rPr>
            </w:pPr>
            <w:r>
              <w:rPr>
                <w:rFonts w:hint="eastAsia" w:ascii="仿宋" w:hAnsi="仿宋" w:eastAsia="仿宋" w:cs="宋体"/>
                <w:color w:val="auto"/>
                <w:sz w:val="18"/>
                <w:szCs w:val="18"/>
                <w:highlight w:val="none"/>
              </w:rPr>
              <w:t>《中国药典》</w:t>
            </w:r>
            <w:r>
              <w:rPr>
                <w:rFonts w:hint="eastAsia" w:ascii="仿宋" w:hAnsi="仿宋" w:eastAsia="仿宋" w:cs="宋体"/>
                <w:color w:val="auto"/>
                <w:sz w:val="18"/>
                <w:szCs w:val="18"/>
                <w:highlight w:val="none"/>
                <w:lang w:val="en-US" w:eastAsia="zh-CN"/>
              </w:rPr>
              <w:t>四部 凡例 十五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restart"/>
            <w:vAlign w:val="center"/>
          </w:tcPr>
          <w:p>
            <w:pPr>
              <w:snapToGrid w:val="0"/>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理化指标</w:t>
            </w:r>
          </w:p>
        </w:tc>
        <w:tc>
          <w:tcPr>
            <w:tcW w:w="1969" w:type="dxa"/>
            <w:vAlign w:val="center"/>
          </w:tcPr>
          <w:p>
            <w:pPr>
              <w:ind w:left="-34" w:leftChars="-17" w:hanging="2" w:firstLineChars="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鉴别：</w:t>
            </w:r>
            <w:r>
              <w:rPr>
                <w:rFonts w:hint="eastAsia" w:ascii="仿宋" w:hAnsi="仿宋" w:eastAsia="仿宋" w:cs="仿宋"/>
                <w:i w:val="0"/>
                <w:iCs w:val="0"/>
                <w:caps w:val="0"/>
                <w:color w:val="auto"/>
                <w:spacing w:val="0"/>
                <w:sz w:val="18"/>
                <w:szCs w:val="18"/>
                <w:highlight w:val="none"/>
                <w:shd w:val="clear"/>
              </w:rPr>
              <w:t>供试品溶液主峰的保留时间应与对照品溶液主峰的保留时间一致</w:t>
            </w:r>
          </w:p>
        </w:tc>
        <w:tc>
          <w:tcPr>
            <w:tcW w:w="3409" w:type="dxa"/>
            <w:vAlign w:val="center"/>
          </w:tcPr>
          <w:p>
            <w:pPr>
              <w:ind w:left="-34" w:leftChars="-17" w:hanging="2" w:firstLineChars="0"/>
              <w:jc w:val="left"/>
              <w:rPr>
                <w:rFonts w:hint="eastAsia" w:ascii="仿宋" w:hAnsi="仿宋" w:eastAsia="仿宋" w:cs="仿宋"/>
                <w:color w:val="auto"/>
                <w:sz w:val="18"/>
                <w:szCs w:val="18"/>
                <w:highlight w:val="none"/>
              </w:rPr>
            </w:pPr>
            <w:r>
              <w:rPr>
                <w:rFonts w:hint="eastAsia" w:ascii="仿宋" w:hAnsi="仿宋" w:eastAsia="仿宋" w:cs="仿宋"/>
                <w:color w:val="auto"/>
                <w:spacing w:val="0"/>
                <w:w w:val="100"/>
                <w:position w:val="0"/>
                <w:sz w:val="18"/>
                <w:szCs w:val="18"/>
                <w:highlight w:val="none"/>
                <w:lang w:val="en-US" w:eastAsia="zh-CN"/>
              </w:rPr>
              <w:t>高效液相色谱法鉴别：在色谱条件相同的情况下，同样的物质其保留时间是一致的。因六肽-11没有官方的标准物质，本方法采用的鉴别用对照品为本公司精制的六肽-11（纯度≥98%），并委托山东省分析测试中心进行了结构确证，见附件（因附件过大，需要者请联系协会）</w:t>
            </w:r>
            <w:r>
              <w:rPr>
                <w:rFonts w:hint="eastAsia" w:ascii="仿宋" w:hAnsi="仿宋" w:eastAsia="仿宋" w:cs="仿宋"/>
                <w:color w:val="auto"/>
                <w:spacing w:val="0"/>
                <w:w w:val="100"/>
                <w:position w:val="0"/>
                <w:sz w:val="18"/>
                <w:szCs w:val="18"/>
                <w:highlight w:val="none"/>
                <w:lang w:val="en-US" w:eastAsia="zh-CN" w:bidi="zh-CN"/>
              </w:rPr>
              <w:t>，</w:t>
            </w:r>
            <w:r>
              <w:rPr>
                <w:rFonts w:hint="eastAsia" w:ascii="仿宋" w:hAnsi="仿宋" w:eastAsia="仿宋" w:cs="仿宋"/>
                <w:color w:val="auto"/>
                <w:spacing w:val="0"/>
                <w:w w:val="100"/>
                <w:position w:val="0"/>
                <w:sz w:val="18"/>
                <w:szCs w:val="18"/>
                <w:highlight w:val="none"/>
                <w:lang w:val="en-US" w:eastAsia="zh-CN"/>
              </w:rPr>
              <w:t>故供试品与对照品若保留时间一致，可以定性鉴别属同一物质。</w:t>
            </w:r>
          </w:p>
        </w:tc>
        <w:tc>
          <w:tcPr>
            <w:tcW w:w="1870" w:type="dxa"/>
            <w:vAlign w:val="center"/>
          </w:tcPr>
          <w:p>
            <w:pPr>
              <w:ind w:left="0" w:leftChars="0" w:firstLine="0" w:firstLineChars="0"/>
              <w:jc w:val="left"/>
              <w:rPr>
                <w:rFonts w:hint="default" w:ascii="仿宋" w:hAnsi="仿宋" w:eastAsia="仿宋" w:cs="仿宋"/>
                <w:color w:val="auto"/>
                <w:sz w:val="18"/>
                <w:szCs w:val="18"/>
                <w:highlight w:val="none"/>
                <w:lang w:val="en-US" w:eastAsia="zh-CN"/>
              </w:rPr>
            </w:pPr>
            <w:r>
              <w:rPr>
                <w:rFonts w:hint="eastAsia" w:ascii="仿宋" w:hAnsi="仿宋" w:eastAsia="仿宋" w:cs="宋体"/>
                <w:color w:val="auto"/>
                <w:sz w:val="18"/>
                <w:szCs w:val="18"/>
                <w:highlight w:val="none"/>
              </w:rPr>
              <w:t>《中国药典》</w:t>
            </w:r>
            <w:r>
              <w:rPr>
                <w:rFonts w:hint="eastAsia" w:ascii="仿宋" w:hAnsi="仿宋" w:eastAsia="仿宋" w:cs="宋体"/>
                <w:color w:val="auto"/>
                <w:sz w:val="18"/>
                <w:szCs w:val="18"/>
                <w:highlight w:val="none"/>
                <w:lang w:val="en-US" w:eastAsia="zh-CN"/>
              </w:rPr>
              <w:t xml:space="preserve">四部 </w:t>
            </w:r>
            <w:r>
              <w:rPr>
                <w:rFonts w:hint="eastAsia" w:ascii="仿宋" w:hAnsi="仿宋" w:eastAsia="仿宋" w:cs="宋体"/>
                <w:color w:val="auto"/>
                <w:sz w:val="18"/>
                <w:szCs w:val="18"/>
                <w:highlight w:val="none"/>
              </w:rPr>
              <w:t>通则</w:t>
            </w:r>
            <w:r>
              <w:rPr>
                <w:rFonts w:ascii="仿宋" w:hAnsi="仿宋" w:eastAsia="仿宋" w:cs="宋体"/>
                <w:color w:val="auto"/>
                <w:sz w:val="18"/>
                <w:szCs w:val="18"/>
                <w:highlight w:val="none"/>
              </w:rPr>
              <w:t>0512</w:t>
            </w:r>
            <w:r>
              <w:rPr>
                <w:rFonts w:hint="eastAsia" w:ascii="仿宋" w:hAnsi="仿宋" w:eastAsia="仿宋" w:cs="宋体"/>
                <w:color w:val="auto"/>
                <w:sz w:val="18"/>
                <w:szCs w:val="18"/>
                <w:highlight w:val="none"/>
                <w:lang w:val="en-US" w:eastAsia="zh-CN"/>
              </w:rPr>
              <w:t xml:space="preserve"> </w:t>
            </w:r>
            <w:r>
              <w:rPr>
                <w:rFonts w:hint="eastAsia" w:ascii="仿宋" w:hAnsi="仿宋" w:eastAsia="仿宋" w:cs="宋体"/>
                <w:color w:val="auto"/>
                <w:sz w:val="18"/>
                <w:szCs w:val="18"/>
                <w:highlight w:val="none"/>
              </w:rPr>
              <w:t>高效液相色谱仪法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continue"/>
            <w:vAlign w:val="center"/>
          </w:tcPr>
          <w:p>
            <w:pPr>
              <w:snapToGrid w:val="0"/>
              <w:rPr>
                <w:rFonts w:hint="eastAsia" w:ascii="仿宋" w:hAnsi="仿宋" w:eastAsia="仿宋" w:cs="仿宋"/>
                <w:color w:val="auto"/>
                <w:sz w:val="18"/>
                <w:szCs w:val="18"/>
                <w:highlight w:val="none"/>
              </w:rPr>
            </w:pPr>
          </w:p>
        </w:tc>
        <w:tc>
          <w:tcPr>
            <w:tcW w:w="1969" w:type="dxa"/>
            <w:vAlign w:val="center"/>
          </w:tcPr>
          <w:p>
            <w:pPr>
              <w:ind w:left="-34" w:leftChars="-17" w:hanging="2" w:firstLineChars="0"/>
              <w:jc w:val="left"/>
              <w:rPr>
                <w:rFonts w:hint="eastAsia" w:ascii="宋体" w:hAnsi="宋体" w:eastAsia="等线" w:cs="宋体"/>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溶解度（水）：</w:t>
            </w:r>
            <w:r>
              <w:rPr>
                <w:rFonts w:hint="eastAsia" w:ascii="仿宋" w:hAnsi="仿宋" w:eastAsia="仿宋" w:cs="仿宋"/>
                <w:i w:val="0"/>
                <w:iCs w:val="0"/>
                <w:caps w:val="0"/>
                <w:color w:val="auto"/>
                <w:spacing w:val="0"/>
                <w:sz w:val="18"/>
                <w:szCs w:val="18"/>
                <w:highlight w:val="none"/>
                <w:shd w:val="clear"/>
                <w:lang w:val="en-US" w:eastAsia="zh-CN"/>
              </w:rPr>
              <w:t>易溶于水</w:t>
            </w:r>
          </w:p>
        </w:tc>
        <w:tc>
          <w:tcPr>
            <w:tcW w:w="3409" w:type="dxa"/>
            <w:vAlign w:val="center"/>
          </w:tcPr>
          <w:p>
            <w:pPr>
              <w:ind w:left="-9" w:leftChars="-17" w:hanging="27" w:hangingChars="15"/>
              <w:jc w:val="left"/>
              <w:rPr>
                <w:rFonts w:hint="eastAsia" w:ascii="仿宋" w:hAnsi="仿宋" w:eastAsia="仿宋" w:cs="仿宋"/>
                <w:color w:val="auto"/>
                <w:sz w:val="18"/>
                <w:szCs w:val="18"/>
                <w:highlight w:val="none"/>
              </w:rPr>
            </w:pPr>
            <w:r>
              <w:rPr>
                <w:rFonts w:hint="eastAsia" w:ascii="仿宋" w:hAnsi="仿宋" w:eastAsia="仿宋" w:cs="宋体"/>
                <w:color w:val="auto"/>
                <w:sz w:val="18"/>
                <w:szCs w:val="18"/>
                <w:highlight w:val="none"/>
                <w:lang w:val="en-US" w:eastAsia="zh-CN"/>
              </w:rPr>
              <w:t>溶解度代表物质的溶解特性，反映物质在选用的溶剂中溶解的难易程度</w:t>
            </w:r>
            <w:r>
              <w:rPr>
                <w:rFonts w:hint="eastAsia" w:ascii="宋体" w:hAnsi="宋体" w:eastAsia="宋体" w:cs="宋体"/>
                <w:color w:val="auto"/>
                <w:sz w:val="24"/>
                <w:szCs w:val="24"/>
                <w:highlight w:val="none"/>
                <w:lang w:val="en-US" w:eastAsia="zh-CN"/>
              </w:rPr>
              <w:t>，</w:t>
            </w:r>
            <w:r>
              <w:rPr>
                <w:rFonts w:hint="eastAsia" w:ascii="仿宋" w:hAnsi="仿宋" w:eastAsia="仿宋" w:cs="宋体"/>
                <w:color w:val="auto"/>
                <w:sz w:val="18"/>
                <w:szCs w:val="18"/>
                <w:highlight w:val="none"/>
              </w:rPr>
              <w:t>根据</w:t>
            </w:r>
            <w:r>
              <w:rPr>
                <w:rFonts w:hint="eastAsia" w:ascii="仿宋" w:hAnsi="仿宋" w:eastAsia="仿宋" w:cs="宋体"/>
                <w:color w:val="auto"/>
                <w:sz w:val="18"/>
                <w:szCs w:val="18"/>
                <w:highlight w:val="none"/>
                <w:lang w:val="en-US" w:eastAsia="zh-CN"/>
              </w:rPr>
              <w:t>本</w:t>
            </w:r>
            <w:r>
              <w:rPr>
                <w:rFonts w:hint="eastAsia" w:ascii="仿宋" w:hAnsi="仿宋" w:eastAsia="仿宋" w:cs="宋体"/>
                <w:color w:val="auto"/>
                <w:sz w:val="18"/>
                <w:szCs w:val="18"/>
                <w:highlight w:val="none"/>
              </w:rPr>
              <w:t>品的理化特性制定本指标</w:t>
            </w:r>
            <w:r>
              <w:rPr>
                <w:rFonts w:hint="eastAsia" w:ascii="仿宋" w:hAnsi="仿宋" w:eastAsia="仿宋" w:cs="宋体"/>
                <w:color w:val="auto"/>
                <w:sz w:val="18"/>
                <w:szCs w:val="18"/>
                <w:highlight w:val="none"/>
                <w:lang w:eastAsia="zh-CN"/>
              </w:rPr>
              <w:t>。</w:t>
            </w:r>
          </w:p>
        </w:tc>
        <w:tc>
          <w:tcPr>
            <w:tcW w:w="1870" w:type="dxa"/>
            <w:vAlign w:val="center"/>
          </w:tcPr>
          <w:p>
            <w:pPr>
              <w:ind w:left="-9" w:leftChars="-17" w:hanging="27" w:hangingChars="15"/>
              <w:jc w:val="left"/>
              <w:rPr>
                <w:rFonts w:hint="eastAsia" w:ascii="仿宋" w:hAnsi="仿宋" w:eastAsia="仿宋" w:cs="仿宋"/>
                <w:color w:val="auto"/>
                <w:sz w:val="18"/>
                <w:szCs w:val="18"/>
                <w:highlight w:val="none"/>
              </w:rPr>
            </w:pPr>
            <w:r>
              <w:rPr>
                <w:rFonts w:hint="eastAsia" w:ascii="仿宋" w:hAnsi="仿宋" w:eastAsia="仿宋" w:cs="宋体"/>
                <w:color w:val="auto"/>
                <w:sz w:val="18"/>
                <w:szCs w:val="18"/>
                <w:highlight w:val="none"/>
              </w:rPr>
              <w:t>《中国药典》</w:t>
            </w:r>
            <w:r>
              <w:rPr>
                <w:rFonts w:hint="eastAsia" w:ascii="仿宋" w:hAnsi="仿宋" w:eastAsia="仿宋" w:cs="宋体"/>
                <w:color w:val="auto"/>
                <w:sz w:val="18"/>
                <w:szCs w:val="18"/>
                <w:highlight w:val="none"/>
                <w:lang w:val="en-US" w:eastAsia="zh-CN"/>
              </w:rPr>
              <w:t>四部 凡例 十五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continue"/>
            <w:vAlign w:val="center"/>
          </w:tcPr>
          <w:p>
            <w:pPr>
              <w:snapToGrid w:val="0"/>
              <w:rPr>
                <w:rFonts w:hint="eastAsia" w:ascii="仿宋" w:hAnsi="仿宋" w:eastAsia="仿宋" w:cs="仿宋"/>
                <w:color w:val="auto"/>
                <w:sz w:val="18"/>
                <w:szCs w:val="18"/>
                <w:highlight w:val="none"/>
              </w:rPr>
            </w:pPr>
          </w:p>
        </w:tc>
        <w:tc>
          <w:tcPr>
            <w:tcW w:w="1969" w:type="dxa"/>
            <w:vAlign w:val="center"/>
          </w:tcPr>
          <w:p>
            <w:pPr>
              <w:ind w:left="-34" w:leftChars="-17" w:hanging="2" w:firstLineChars="0"/>
              <w:jc w:val="left"/>
              <w:rPr>
                <w:rFonts w:hint="eastAsia" w:ascii="宋体" w:hAnsi="宋体" w:eastAsia="等线" w:cs="宋体"/>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比旋度（20 ℃）：</w:t>
            </w:r>
            <w:r>
              <w:rPr>
                <w:rFonts w:hint="eastAsia"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126</w:t>
            </w:r>
            <w:r>
              <w:rPr>
                <w:rFonts w:hint="eastAsia" w:ascii="仿宋" w:hAnsi="仿宋" w:eastAsia="仿宋" w:cs="仿宋"/>
                <w:color w:val="auto"/>
                <w:sz w:val="18"/>
                <w:szCs w:val="18"/>
                <w:highlight w:val="none"/>
              </w:rPr>
              <w:t>.0°～</w:t>
            </w:r>
            <w:r>
              <w:rPr>
                <w:rFonts w:hint="eastAsia" w:ascii="仿宋" w:hAnsi="仿宋" w:eastAsia="仿宋" w:cs="仿宋"/>
                <w:color w:val="auto"/>
                <w:sz w:val="18"/>
                <w:szCs w:val="18"/>
                <w:highlight w:val="none"/>
                <w:lang w:val="en-US" w:eastAsia="zh-CN"/>
              </w:rPr>
              <w:t xml:space="preserve"> </w:t>
            </w:r>
            <w:r>
              <w:rPr>
                <w:rFonts w:hint="eastAsia"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146</w:t>
            </w:r>
            <w:r>
              <w:rPr>
                <w:rFonts w:hint="eastAsia" w:ascii="仿宋" w:hAnsi="仿宋" w:eastAsia="仿宋" w:cs="仿宋"/>
                <w:color w:val="auto"/>
                <w:sz w:val="18"/>
                <w:szCs w:val="18"/>
                <w:highlight w:val="none"/>
              </w:rPr>
              <w:t>.0°</w:t>
            </w:r>
          </w:p>
        </w:tc>
        <w:tc>
          <w:tcPr>
            <w:tcW w:w="3409" w:type="dxa"/>
            <w:vAlign w:val="center"/>
          </w:tcPr>
          <w:p>
            <w:pPr>
              <w:widowControl/>
              <w:ind w:left="0" w:leftChars="0" w:firstLine="0" w:firstLineChars="0"/>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因本品含有手性碳原子，具有光学活性，</w:t>
            </w:r>
            <w:r>
              <w:rPr>
                <w:rFonts w:hint="eastAsia" w:ascii="仿宋" w:hAnsi="仿宋" w:eastAsia="仿宋" w:cs="仿宋"/>
                <w:color w:val="auto"/>
                <w:kern w:val="2"/>
                <w:sz w:val="18"/>
                <w:szCs w:val="18"/>
                <w:highlight w:val="none"/>
                <w:lang w:val="en-US" w:eastAsia="zh-CN" w:bidi="ar"/>
              </w:rPr>
              <w:t>当偏振光透过含有旋光性物质的溶液时，在一定波长与温度测定的旋光度称为该物质的比旋度，比旋度为物质的物理常数，</w:t>
            </w:r>
            <w:r>
              <w:rPr>
                <w:rFonts w:hint="eastAsia" w:ascii="仿宋" w:hAnsi="仿宋" w:eastAsia="仿宋" w:cs="仿宋"/>
                <w:color w:val="auto"/>
                <w:sz w:val="18"/>
                <w:szCs w:val="18"/>
                <w:highlight w:val="none"/>
                <w:lang w:val="en-US" w:eastAsia="zh-CN"/>
              </w:rPr>
              <w:t>可以</w:t>
            </w:r>
            <w:r>
              <w:rPr>
                <w:rFonts w:hint="eastAsia" w:ascii="仿宋" w:hAnsi="仿宋" w:eastAsia="仿宋"/>
                <w:color w:val="auto"/>
                <w:sz w:val="18"/>
                <w:szCs w:val="18"/>
                <w:highlight w:val="none"/>
              </w:rPr>
              <w:t>用于鉴别和</w:t>
            </w:r>
            <w:r>
              <w:rPr>
                <w:rFonts w:hint="eastAsia" w:ascii="仿宋" w:hAnsi="仿宋" w:eastAsia="仿宋"/>
                <w:color w:val="auto"/>
                <w:sz w:val="18"/>
                <w:szCs w:val="18"/>
                <w:highlight w:val="none"/>
                <w:lang w:val="en-US" w:eastAsia="zh-CN"/>
              </w:rPr>
              <w:t>检查</w:t>
            </w:r>
            <w:r>
              <w:rPr>
                <w:rFonts w:hint="eastAsia" w:ascii="仿宋" w:hAnsi="仿宋" w:eastAsia="仿宋"/>
                <w:color w:val="auto"/>
                <w:sz w:val="18"/>
                <w:szCs w:val="18"/>
                <w:highlight w:val="none"/>
              </w:rPr>
              <w:t>产品纯度</w:t>
            </w:r>
            <w:r>
              <w:rPr>
                <w:rFonts w:hint="eastAsia" w:ascii="仿宋" w:hAnsi="仿宋" w:eastAsia="仿宋"/>
                <w:color w:val="auto"/>
                <w:sz w:val="18"/>
                <w:szCs w:val="18"/>
                <w:highlight w:val="none"/>
                <w:lang w:eastAsia="zh-CN"/>
              </w:rPr>
              <w:t>。</w:t>
            </w:r>
          </w:p>
        </w:tc>
        <w:tc>
          <w:tcPr>
            <w:tcW w:w="1870" w:type="dxa"/>
            <w:vAlign w:val="center"/>
          </w:tcPr>
          <w:p>
            <w:pPr>
              <w:ind w:left="-5" w:leftChars="-17" w:hanging="31" w:hangingChars="15"/>
              <w:jc w:val="left"/>
              <w:rPr>
                <w:rFonts w:hint="eastAsia" w:ascii="仿宋" w:hAnsi="仿宋" w:eastAsia="仿宋" w:cs="仿宋"/>
                <w:color w:val="auto"/>
                <w:sz w:val="18"/>
                <w:szCs w:val="18"/>
                <w:highlight w:val="none"/>
              </w:rPr>
            </w:pPr>
            <w:r>
              <w:rPr>
                <w:rFonts w:hint="eastAsia"/>
                <w:color w:val="auto"/>
                <w:highlight w:val="none"/>
              </w:rPr>
              <w:t>《</w:t>
            </w:r>
            <w:r>
              <w:rPr>
                <w:rFonts w:hint="eastAsia" w:ascii="仿宋" w:hAnsi="仿宋" w:eastAsia="仿宋" w:cs="仿宋"/>
                <w:color w:val="auto"/>
                <w:sz w:val="18"/>
                <w:szCs w:val="18"/>
                <w:highlight w:val="none"/>
              </w:rPr>
              <w:t>中国药典》</w:t>
            </w:r>
            <w:r>
              <w:rPr>
                <w:rFonts w:hint="eastAsia" w:ascii="仿宋" w:hAnsi="仿宋" w:eastAsia="仿宋" w:cs="仿宋"/>
                <w:color w:val="auto"/>
                <w:sz w:val="18"/>
                <w:szCs w:val="18"/>
                <w:highlight w:val="none"/>
                <w:lang w:val="en-US" w:eastAsia="zh-CN"/>
              </w:rPr>
              <w:t>四部通则</w:t>
            </w:r>
            <w:r>
              <w:rPr>
                <w:rFonts w:hint="eastAsia" w:ascii="仿宋" w:hAnsi="仿宋" w:eastAsia="仿宋" w:cs="仿宋"/>
                <w:color w:val="auto"/>
                <w:sz w:val="18"/>
                <w:szCs w:val="18"/>
                <w:highlight w:val="none"/>
                <w:lang w:val="en-US"/>
              </w:rPr>
              <w:t>0</w:t>
            </w:r>
            <w:r>
              <w:rPr>
                <w:rFonts w:hint="eastAsia" w:ascii="仿宋" w:hAnsi="仿宋" w:eastAsia="仿宋" w:cs="仿宋"/>
                <w:color w:val="auto"/>
                <w:sz w:val="18"/>
                <w:szCs w:val="18"/>
                <w:highlight w:val="none"/>
                <w:lang w:val="en-US" w:eastAsia="zh-CN"/>
              </w:rPr>
              <w:t>621 旋光度测定法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continue"/>
            <w:vAlign w:val="center"/>
          </w:tcPr>
          <w:p>
            <w:pPr>
              <w:snapToGrid w:val="0"/>
              <w:rPr>
                <w:rFonts w:hint="eastAsia" w:ascii="仿宋" w:hAnsi="仿宋" w:eastAsia="仿宋" w:cs="仿宋"/>
                <w:color w:val="auto"/>
                <w:sz w:val="18"/>
                <w:szCs w:val="18"/>
                <w:highlight w:val="none"/>
              </w:rPr>
            </w:pPr>
          </w:p>
        </w:tc>
        <w:tc>
          <w:tcPr>
            <w:tcW w:w="1969" w:type="dxa"/>
            <w:vAlign w:val="center"/>
          </w:tcPr>
          <w:p>
            <w:pPr>
              <w:ind w:left="-34" w:leftChars="-17" w:hanging="2" w:firstLineChars="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pH值</w:t>
            </w:r>
            <w:r>
              <w:rPr>
                <w:rFonts w:hint="eastAsia" w:ascii="仿宋" w:hAnsi="仿宋" w:eastAsia="仿宋" w:cs="仿宋"/>
                <w:b w:val="0"/>
                <w:bCs/>
                <w:color w:val="auto"/>
                <w:spacing w:val="0"/>
                <w:sz w:val="18"/>
                <w:szCs w:val="18"/>
                <w:highlight w:val="none"/>
                <w:lang w:val="en-US" w:eastAsia="zh-CN"/>
              </w:rPr>
              <w:t>(1 mg/ml,水溶液，25 ℃）</w:t>
            </w:r>
            <w:r>
              <w:rPr>
                <w:rFonts w:ascii="仿宋" w:hAnsi="仿宋" w:eastAsia="仿宋" w:cs="仿宋"/>
                <w:color w:val="auto"/>
                <w:sz w:val="18"/>
                <w:szCs w:val="18"/>
                <w:highlight w:val="none"/>
              </w:rPr>
              <w:t>：</w:t>
            </w:r>
            <w:r>
              <w:rPr>
                <w:rFonts w:hint="eastAsia" w:ascii="仿宋" w:hAnsi="仿宋" w:eastAsia="仿宋" w:cs="仿宋"/>
                <w:b w:val="0"/>
                <w:bCs/>
                <w:color w:val="auto"/>
                <w:spacing w:val="0"/>
                <w:sz w:val="18"/>
                <w:szCs w:val="18"/>
                <w:highlight w:val="none"/>
                <w:lang w:val="en-US" w:eastAsia="zh-CN"/>
              </w:rPr>
              <w:t>3.5</w:t>
            </w:r>
            <w:r>
              <w:rPr>
                <w:rFonts w:hint="eastAsia" w:ascii="仿宋" w:hAnsi="仿宋" w:eastAsia="仿宋" w:cs="仿宋"/>
                <w:color w:val="auto"/>
                <w:sz w:val="18"/>
                <w:szCs w:val="18"/>
                <w:highlight w:val="none"/>
              </w:rPr>
              <w:t>～</w:t>
            </w:r>
            <w:r>
              <w:rPr>
                <w:rFonts w:hint="eastAsia" w:ascii="仿宋" w:hAnsi="仿宋" w:eastAsia="仿宋" w:cs="仿宋"/>
                <w:b w:val="0"/>
                <w:bCs/>
                <w:color w:val="auto"/>
                <w:spacing w:val="0"/>
                <w:sz w:val="18"/>
                <w:szCs w:val="18"/>
                <w:highlight w:val="none"/>
                <w:lang w:val="en-US" w:eastAsia="zh-CN"/>
              </w:rPr>
              <w:t>5.5</w:t>
            </w:r>
          </w:p>
        </w:tc>
        <w:tc>
          <w:tcPr>
            <w:tcW w:w="3409" w:type="dxa"/>
            <w:vAlign w:val="center"/>
          </w:tcPr>
          <w:p>
            <w:pPr>
              <w:jc w:val="left"/>
              <w:rPr>
                <w:rFonts w:hint="eastAsia" w:ascii="仿宋" w:hAnsi="仿宋" w:eastAsia="仿宋" w:cs="宋体"/>
                <w:color w:val="auto"/>
                <w:kern w:val="2"/>
                <w:sz w:val="18"/>
                <w:szCs w:val="18"/>
                <w:highlight w:val="none"/>
                <w:lang w:val="en-US" w:eastAsia="zh-CN" w:bidi="ar-SA"/>
              </w:rPr>
            </w:pPr>
            <w:r>
              <w:rPr>
                <w:rFonts w:hint="eastAsia" w:ascii="仿宋" w:hAnsi="仿宋" w:eastAsia="仿宋" w:cs="宋体"/>
                <w:color w:val="auto"/>
                <w:spacing w:val="0"/>
                <w:w w:val="100"/>
                <w:position w:val="0"/>
                <w:sz w:val="18"/>
                <w:szCs w:val="18"/>
                <w:highlight w:val="none"/>
                <w:lang w:val="en-US" w:eastAsia="zh-CN"/>
              </w:rPr>
              <w:t>pH值是衡量一种物质在水溶液中的酸碱性的指标</w:t>
            </w:r>
            <w:r>
              <w:rPr>
                <w:rFonts w:hint="eastAsia" w:ascii="宋体" w:hAnsi="宋体" w:eastAsia="宋体" w:cs="宋体"/>
                <w:color w:val="auto"/>
                <w:spacing w:val="0"/>
                <w:w w:val="100"/>
                <w:position w:val="0"/>
                <w:sz w:val="24"/>
                <w:szCs w:val="24"/>
                <w:highlight w:val="none"/>
                <w:lang w:eastAsia="zh-CN"/>
              </w:rPr>
              <w:t>，</w:t>
            </w:r>
            <w:r>
              <w:rPr>
                <w:rFonts w:hint="eastAsia" w:ascii="仿宋" w:hAnsi="仿宋" w:eastAsia="仿宋" w:cs="宋体"/>
                <w:color w:val="auto"/>
                <w:sz w:val="18"/>
                <w:szCs w:val="18"/>
                <w:highlight w:val="none"/>
              </w:rPr>
              <w:t>根据</w:t>
            </w:r>
            <w:r>
              <w:rPr>
                <w:rFonts w:hint="eastAsia" w:ascii="仿宋" w:hAnsi="仿宋" w:eastAsia="仿宋" w:cs="宋体"/>
                <w:color w:val="auto"/>
                <w:sz w:val="18"/>
                <w:szCs w:val="18"/>
                <w:highlight w:val="none"/>
                <w:lang w:val="en-US" w:eastAsia="zh-CN"/>
              </w:rPr>
              <w:t>本</w:t>
            </w:r>
            <w:r>
              <w:rPr>
                <w:rFonts w:hint="eastAsia" w:ascii="仿宋" w:hAnsi="仿宋" w:eastAsia="仿宋" w:cs="宋体"/>
                <w:color w:val="auto"/>
                <w:sz w:val="18"/>
                <w:szCs w:val="18"/>
                <w:highlight w:val="none"/>
              </w:rPr>
              <w:t>品的理化特性制定本指标</w:t>
            </w:r>
            <w:r>
              <w:rPr>
                <w:rFonts w:hint="eastAsia" w:ascii="仿宋" w:hAnsi="仿宋" w:eastAsia="仿宋" w:cs="宋体"/>
                <w:color w:val="auto"/>
                <w:sz w:val="18"/>
                <w:szCs w:val="18"/>
                <w:highlight w:val="none"/>
                <w:lang w:eastAsia="zh-CN"/>
              </w:rPr>
              <w:t>。</w:t>
            </w:r>
          </w:p>
        </w:tc>
        <w:tc>
          <w:tcPr>
            <w:tcW w:w="1870" w:type="dxa"/>
            <w:vAlign w:val="center"/>
          </w:tcPr>
          <w:p>
            <w:pPr>
              <w:jc w:val="left"/>
              <w:rPr>
                <w:rFonts w:hint="eastAsia" w:ascii="仿宋" w:hAnsi="仿宋" w:eastAsia="仿宋" w:cs="宋体"/>
                <w:color w:val="auto"/>
                <w:kern w:val="2"/>
                <w:sz w:val="18"/>
                <w:szCs w:val="18"/>
                <w:highlight w:val="none"/>
                <w:lang w:val="en-US" w:eastAsia="zh-CN" w:bidi="ar-SA"/>
              </w:rPr>
            </w:pPr>
            <w:r>
              <w:rPr>
                <w:rFonts w:hint="eastAsia" w:ascii="仿宋" w:hAnsi="仿宋" w:eastAsia="仿宋" w:cs="仿宋"/>
                <w:color w:val="auto"/>
                <w:spacing w:val="0"/>
                <w:w w:val="100"/>
                <w:position w:val="0"/>
                <w:sz w:val="18"/>
                <w:szCs w:val="18"/>
                <w:highlight w:val="none"/>
                <w:lang w:val="en-US" w:eastAsia="zh-CN"/>
              </w:rPr>
              <w:t xml:space="preserve">《中国药典》四部 </w:t>
            </w:r>
            <w:r>
              <w:rPr>
                <w:rFonts w:hint="eastAsia" w:ascii="仿宋" w:hAnsi="仿宋" w:eastAsia="仿宋" w:cs="宋体"/>
                <w:color w:val="auto"/>
                <w:sz w:val="18"/>
                <w:szCs w:val="18"/>
                <w:highlight w:val="none"/>
              </w:rPr>
              <w:t>通则</w:t>
            </w:r>
            <w:r>
              <w:rPr>
                <w:rFonts w:ascii="仿宋" w:hAnsi="仿宋" w:eastAsia="仿宋" w:cs="宋体"/>
                <w:color w:val="auto"/>
                <w:sz w:val="18"/>
                <w:szCs w:val="18"/>
                <w:highlight w:val="none"/>
              </w:rPr>
              <w:t>0631</w:t>
            </w:r>
            <w:r>
              <w:rPr>
                <w:rFonts w:hint="eastAsia" w:ascii="仿宋" w:hAnsi="仿宋" w:eastAsia="仿宋" w:cs="宋体"/>
                <w:color w:val="auto"/>
                <w:sz w:val="18"/>
                <w:szCs w:val="18"/>
                <w:highlight w:val="none"/>
                <w:lang w:val="en-US" w:eastAsia="zh-CN"/>
              </w:rPr>
              <w:t xml:space="preserve"> </w:t>
            </w:r>
            <w:r>
              <w:rPr>
                <w:rFonts w:ascii="仿宋" w:hAnsi="仿宋" w:eastAsia="仿宋" w:cs="宋体"/>
                <w:color w:val="auto"/>
                <w:sz w:val="18"/>
                <w:szCs w:val="18"/>
                <w:highlight w:val="none"/>
              </w:rPr>
              <w:t>pH值测定法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continue"/>
            <w:vAlign w:val="center"/>
          </w:tcPr>
          <w:p>
            <w:pPr>
              <w:snapToGrid w:val="0"/>
              <w:rPr>
                <w:rFonts w:ascii="仿宋" w:hAnsi="仿宋" w:eastAsia="仿宋" w:cs="仿宋"/>
                <w:color w:val="auto"/>
                <w:sz w:val="18"/>
                <w:szCs w:val="18"/>
                <w:highlight w:val="none"/>
              </w:rPr>
            </w:pPr>
          </w:p>
        </w:tc>
        <w:tc>
          <w:tcPr>
            <w:tcW w:w="1969" w:type="dxa"/>
            <w:vAlign w:val="center"/>
          </w:tcPr>
          <w:p>
            <w:pPr>
              <w:ind w:left="-34" w:leftChars="-17" w:hanging="2" w:firstLineChars="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水分/%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 xml:space="preserve"> ≤ </w:t>
            </w:r>
            <w:r>
              <w:rPr>
                <w:rFonts w:hint="eastAsia" w:ascii="仿宋" w:hAnsi="仿宋" w:eastAsia="仿宋" w:cs="仿宋"/>
                <w:color w:val="auto"/>
                <w:sz w:val="18"/>
                <w:szCs w:val="18"/>
                <w:highlight w:val="none"/>
                <w:lang w:eastAsia="zh-CN"/>
              </w:rPr>
              <w:t>7</w:t>
            </w:r>
            <w:r>
              <w:rPr>
                <w:rFonts w:hint="eastAsia" w:ascii="仿宋" w:hAnsi="仿宋" w:eastAsia="仿宋" w:cs="仿宋"/>
                <w:color w:val="auto"/>
                <w:sz w:val="18"/>
                <w:szCs w:val="18"/>
                <w:highlight w:val="none"/>
              </w:rPr>
              <w:t>.0</w:t>
            </w:r>
          </w:p>
        </w:tc>
        <w:tc>
          <w:tcPr>
            <w:tcW w:w="3409" w:type="dxa"/>
            <w:vAlign w:val="center"/>
          </w:tcPr>
          <w:p>
            <w:pPr>
              <w:jc w:val="left"/>
              <w:rPr>
                <w:rFonts w:hint="eastAsia" w:ascii="仿宋" w:hAnsi="仿宋" w:eastAsia="仿宋" w:cs="宋体"/>
                <w:color w:val="auto"/>
                <w:sz w:val="18"/>
                <w:szCs w:val="18"/>
                <w:highlight w:val="none"/>
              </w:rPr>
            </w:pPr>
            <w:r>
              <w:rPr>
                <w:rFonts w:hint="eastAsia" w:ascii="仿宋" w:hAnsi="仿宋" w:eastAsia="仿宋" w:cs="宋体"/>
                <w:color w:val="auto"/>
                <w:sz w:val="18"/>
                <w:szCs w:val="18"/>
                <w:highlight w:val="none"/>
              </w:rPr>
              <w:t>根据行业可接受的标准制定本指标。</w:t>
            </w:r>
          </w:p>
          <w:p>
            <w:pPr>
              <w:ind w:firstLine="0" w:firstLineChars="0"/>
              <w:rPr>
                <w:rFonts w:hint="eastAsia" w:ascii="仿宋" w:hAnsi="仿宋" w:eastAsia="仿宋" w:cs="宋体"/>
                <w:color w:val="auto"/>
                <w:sz w:val="18"/>
                <w:szCs w:val="18"/>
                <w:highlight w:val="none"/>
              </w:rPr>
            </w:pPr>
            <w:r>
              <w:rPr>
                <w:rFonts w:hint="eastAsia" w:ascii="仿宋" w:hAnsi="仿宋" w:eastAsia="仿宋" w:cs="宋体"/>
                <w:color w:val="auto"/>
                <w:sz w:val="18"/>
                <w:szCs w:val="18"/>
                <w:highlight w:val="none"/>
              </w:rPr>
              <w:t>四川艾美佳生物技术生物有限公司</w:t>
            </w:r>
            <w:r>
              <w:rPr>
                <w:rFonts w:hint="eastAsia" w:ascii="仿宋" w:hAnsi="仿宋" w:eastAsia="仿宋" w:cs="宋体"/>
                <w:color w:val="auto"/>
                <w:sz w:val="18"/>
                <w:szCs w:val="18"/>
                <w:highlight w:val="none"/>
                <w:lang w:eastAsia="zh-CN"/>
              </w:rPr>
              <w:t>：</w:t>
            </w:r>
            <w:r>
              <w:rPr>
                <w:rFonts w:hint="eastAsia" w:ascii="仿宋" w:hAnsi="仿宋" w:eastAsia="仿宋" w:cs="宋体"/>
                <w:color w:val="auto"/>
                <w:sz w:val="18"/>
                <w:szCs w:val="18"/>
                <w:highlight w:val="none"/>
                <w:lang w:val="en-US" w:eastAsia="zh-CN"/>
              </w:rPr>
              <w:t>：</w:t>
            </w:r>
            <w:r>
              <w:rPr>
                <w:rFonts w:hint="eastAsia" w:ascii="仿宋" w:hAnsi="仿宋" w:eastAsia="仿宋" w:cs="宋体"/>
                <w:color w:val="auto"/>
                <w:sz w:val="18"/>
                <w:szCs w:val="18"/>
                <w:highlight w:val="none"/>
              </w:rPr>
              <w:t>≤</w:t>
            </w:r>
            <w:r>
              <w:rPr>
                <w:rFonts w:hint="eastAsia" w:ascii="仿宋" w:hAnsi="仿宋" w:eastAsia="仿宋" w:cs="宋体"/>
                <w:color w:val="auto"/>
                <w:sz w:val="18"/>
                <w:szCs w:val="18"/>
                <w:highlight w:val="none"/>
                <w:lang w:val="en-US" w:eastAsia="zh-CN"/>
              </w:rPr>
              <w:t>7</w:t>
            </w:r>
            <w:r>
              <w:rPr>
                <w:rFonts w:hint="eastAsia" w:ascii="仿宋" w:hAnsi="仿宋" w:eastAsia="仿宋" w:cs="宋体"/>
                <w:color w:val="auto"/>
                <w:sz w:val="18"/>
                <w:szCs w:val="18"/>
                <w:highlight w:val="none"/>
              </w:rPr>
              <w:t>.0</w:t>
            </w:r>
          </w:p>
          <w:p>
            <w:pPr>
              <w:ind w:firstLine="0" w:firstLineChars="0"/>
              <w:rPr>
                <w:rFonts w:hint="default"/>
                <w:lang w:val="en-US" w:eastAsia="zh-CN"/>
              </w:rPr>
            </w:pPr>
            <w:r>
              <w:rPr>
                <w:rFonts w:hint="eastAsia" w:ascii="仿宋" w:hAnsi="仿宋" w:eastAsia="仿宋" w:cs="宋体"/>
                <w:i w:val="0"/>
                <w:iCs w:val="0"/>
                <w:color w:val="auto"/>
                <w:kern w:val="2"/>
                <w:sz w:val="18"/>
                <w:szCs w:val="18"/>
                <w:highlight w:val="none"/>
                <w:u w:val="none"/>
                <w:lang w:val="en-US" w:eastAsia="zh-CN" w:bidi="ar"/>
              </w:rPr>
              <w:t>浙江湃肽生物股份有限公司</w:t>
            </w:r>
            <w:r>
              <w:rPr>
                <w:rFonts w:hint="eastAsia" w:ascii="仿宋" w:hAnsi="仿宋" w:eastAsia="仿宋" w:cs="宋体"/>
                <w:color w:val="auto"/>
                <w:sz w:val="18"/>
                <w:szCs w:val="18"/>
                <w:highlight w:val="none"/>
                <w:lang w:val="en-US" w:eastAsia="zh-CN"/>
              </w:rPr>
              <w:t>：</w:t>
            </w:r>
            <w:r>
              <w:rPr>
                <w:rFonts w:hint="eastAsia" w:ascii="仿宋" w:hAnsi="仿宋" w:eastAsia="仿宋" w:cs="宋体"/>
                <w:color w:val="auto"/>
                <w:sz w:val="18"/>
                <w:szCs w:val="18"/>
                <w:highlight w:val="none"/>
              </w:rPr>
              <w:t>≤</w:t>
            </w:r>
            <w:r>
              <w:rPr>
                <w:rFonts w:hint="eastAsia" w:ascii="仿宋" w:hAnsi="仿宋" w:eastAsia="仿宋" w:cs="宋体"/>
                <w:color w:val="auto"/>
                <w:sz w:val="18"/>
                <w:szCs w:val="18"/>
                <w:highlight w:val="none"/>
                <w:lang w:val="en-US" w:eastAsia="zh-CN"/>
              </w:rPr>
              <w:t>7</w:t>
            </w:r>
            <w:r>
              <w:rPr>
                <w:rFonts w:hint="eastAsia" w:ascii="仿宋" w:hAnsi="仿宋" w:eastAsia="仿宋" w:cs="宋体"/>
                <w:color w:val="auto"/>
                <w:sz w:val="18"/>
                <w:szCs w:val="18"/>
                <w:highlight w:val="none"/>
              </w:rPr>
              <w:t>.0</w:t>
            </w:r>
          </w:p>
        </w:tc>
        <w:tc>
          <w:tcPr>
            <w:tcW w:w="1870" w:type="dxa"/>
            <w:vAlign w:val="center"/>
          </w:tcPr>
          <w:p>
            <w:pPr>
              <w:ind w:left="-9" w:leftChars="-17" w:hanging="27" w:hangingChars="15"/>
              <w:jc w:val="left"/>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G</w:t>
            </w:r>
            <w:r>
              <w:rPr>
                <w:rFonts w:hint="eastAsia" w:ascii="仿宋" w:hAnsi="仿宋" w:eastAsia="仿宋" w:cs="宋体"/>
                <w:color w:val="auto"/>
                <w:sz w:val="18"/>
                <w:szCs w:val="18"/>
                <w:highlight w:val="none"/>
              </w:rPr>
              <w:t>B/T 6283 化工产品中水分含量的测定 卡尔·费休法（通用方法）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continue"/>
            <w:vAlign w:val="center"/>
          </w:tcPr>
          <w:p>
            <w:pPr>
              <w:snapToGrid w:val="0"/>
              <w:rPr>
                <w:rFonts w:ascii="仿宋" w:hAnsi="仿宋" w:eastAsia="仿宋" w:cs="仿宋"/>
                <w:color w:val="auto"/>
                <w:sz w:val="18"/>
                <w:szCs w:val="18"/>
                <w:highlight w:val="none"/>
              </w:rPr>
            </w:pPr>
          </w:p>
        </w:tc>
        <w:tc>
          <w:tcPr>
            <w:tcW w:w="1969" w:type="dxa"/>
            <w:vAlign w:val="center"/>
          </w:tcPr>
          <w:p>
            <w:pPr>
              <w:ind w:left="-34" w:leftChars="-17" w:hanging="2" w:firstLineChars="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含量</w:t>
            </w:r>
            <w:r>
              <w:rPr>
                <w:rFonts w:hint="eastAsia" w:ascii="仿宋" w:hAnsi="仿宋" w:eastAsia="仿宋" w:cs="仿宋"/>
                <w:color w:val="auto"/>
                <w:sz w:val="18"/>
                <w:szCs w:val="18"/>
                <w:highlight w:val="none"/>
              </w:rPr>
              <w:t>/%</w:t>
            </w:r>
            <w:r>
              <w:rPr>
                <w:rFonts w:hint="eastAsia" w:ascii="仿宋" w:hAnsi="仿宋" w:eastAsia="仿宋" w:cs="仿宋"/>
                <w:color w:val="auto"/>
                <w:sz w:val="18"/>
                <w:szCs w:val="18"/>
                <w:highlight w:val="none"/>
                <w:lang w:eastAsia="zh-CN"/>
              </w:rPr>
              <w:t>：</w:t>
            </w:r>
            <w:r>
              <w:rPr>
                <w:rFonts w:hint="eastAsia" w:ascii="仿宋" w:hAnsi="仿宋" w:eastAsia="仿宋" w:cs="仿宋"/>
                <w:b w:val="0"/>
                <w:bCs w:val="0"/>
                <w:color w:val="auto"/>
                <w:spacing w:val="0"/>
                <w:sz w:val="18"/>
                <w:szCs w:val="18"/>
                <w:highlight w:val="none"/>
                <w:lang w:val="en-US" w:eastAsia="zh-CN"/>
              </w:rPr>
              <w:t>≥</w:t>
            </w:r>
            <w:r>
              <w:rPr>
                <w:rFonts w:hint="eastAsia" w:ascii="仿宋" w:hAnsi="仿宋" w:eastAsia="仿宋" w:cs="仿宋"/>
                <w:b w:val="0"/>
                <w:bCs w:val="0"/>
                <w:color w:val="auto"/>
                <w:spacing w:val="0"/>
                <w:sz w:val="18"/>
                <w:szCs w:val="18"/>
                <w:highlight w:val="none"/>
              </w:rPr>
              <w:t>9</w:t>
            </w:r>
            <w:r>
              <w:rPr>
                <w:rFonts w:hint="eastAsia" w:ascii="仿宋" w:hAnsi="仿宋" w:eastAsia="仿宋" w:cs="仿宋"/>
                <w:b w:val="0"/>
                <w:bCs w:val="0"/>
                <w:color w:val="auto"/>
                <w:spacing w:val="0"/>
                <w:sz w:val="18"/>
                <w:szCs w:val="18"/>
                <w:highlight w:val="none"/>
                <w:lang w:val="en-US" w:eastAsia="zh-CN"/>
              </w:rPr>
              <w:t>5</w:t>
            </w:r>
            <w:r>
              <w:rPr>
                <w:rFonts w:hint="eastAsia" w:ascii="仿宋" w:hAnsi="仿宋" w:eastAsia="仿宋" w:cs="仿宋"/>
                <w:b w:val="0"/>
                <w:bCs w:val="0"/>
                <w:color w:val="auto"/>
                <w:spacing w:val="0"/>
                <w:sz w:val="18"/>
                <w:szCs w:val="18"/>
                <w:highlight w:val="none"/>
              </w:rPr>
              <w:t>.0</w:t>
            </w:r>
          </w:p>
        </w:tc>
        <w:tc>
          <w:tcPr>
            <w:tcW w:w="3409" w:type="dxa"/>
            <w:vAlign w:val="center"/>
          </w:tcPr>
          <w:p>
            <w:pPr>
              <w:jc w:val="left"/>
              <w:rPr>
                <w:rFonts w:hint="eastAsia" w:ascii="仿宋" w:hAnsi="仿宋" w:eastAsia="仿宋" w:cs="宋体"/>
                <w:color w:val="auto"/>
                <w:sz w:val="18"/>
                <w:szCs w:val="18"/>
                <w:highlight w:val="none"/>
              </w:rPr>
            </w:pPr>
            <w:r>
              <w:rPr>
                <w:rFonts w:hint="eastAsia" w:ascii="仿宋" w:hAnsi="仿宋" w:eastAsia="仿宋" w:cs="宋体"/>
                <w:color w:val="auto"/>
                <w:sz w:val="18"/>
                <w:szCs w:val="18"/>
                <w:highlight w:val="none"/>
              </w:rPr>
              <w:t>根据行业可接受的标准制定本指标。</w:t>
            </w:r>
          </w:p>
          <w:p>
            <w:pPr>
              <w:ind w:left="0" w:leftChars="0" w:firstLine="0"/>
              <w:jc w:val="left"/>
              <w:rPr>
                <w:rFonts w:hint="eastAsia" w:ascii="仿宋" w:hAnsi="仿宋" w:eastAsia="仿宋" w:cs="宋体"/>
                <w:color w:val="auto"/>
                <w:sz w:val="18"/>
                <w:szCs w:val="18"/>
                <w:highlight w:val="none"/>
              </w:rPr>
            </w:pPr>
            <w:r>
              <w:rPr>
                <w:rFonts w:hint="eastAsia" w:ascii="仿宋" w:hAnsi="仿宋" w:eastAsia="仿宋" w:cs="宋体"/>
                <w:color w:val="auto"/>
                <w:sz w:val="18"/>
                <w:szCs w:val="18"/>
                <w:highlight w:val="none"/>
              </w:rPr>
              <w:t>四川艾美佳生物技术生物有限公司</w:t>
            </w:r>
            <w:r>
              <w:rPr>
                <w:rFonts w:hint="eastAsia" w:ascii="仿宋" w:hAnsi="仿宋" w:eastAsia="仿宋" w:cs="宋体"/>
                <w:color w:val="auto"/>
                <w:sz w:val="18"/>
                <w:szCs w:val="18"/>
                <w:highlight w:val="none"/>
                <w:lang w:eastAsia="zh-CN"/>
              </w:rPr>
              <w:t>：</w:t>
            </w:r>
            <w:r>
              <w:rPr>
                <w:rFonts w:hint="eastAsia" w:ascii="仿宋" w:hAnsi="仿宋" w:eastAsia="仿宋" w:cs="宋体"/>
                <w:color w:val="auto"/>
                <w:sz w:val="18"/>
                <w:szCs w:val="18"/>
                <w:highlight w:val="none"/>
                <w:lang w:val="en-US" w:eastAsia="zh-CN"/>
              </w:rPr>
              <w:t>：≥</w:t>
            </w:r>
            <w:r>
              <w:rPr>
                <w:rFonts w:hint="eastAsia" w:ascii="仿宋" w:hAnsi="仿宋" w:eastAsia="仿宋" w:cs="宋体"/>
                <w:color w:val="auto"/>
                <w:sz w:val="18"/>
                <w:szCs w:val="18"/>
                <w:highlight w:val="none"/>
              </w:rPr>
              <w:t>9</w:t>
            </w:r>
            <w:r>
              <w:rPr>
                <w:rFonts w:hint="eastAsia" w:ascii="仿宋" w:hAnsi="仿宋" w:eastAsia="仿宋" w:cs="宋体"/>
                <w:color w:val="auto"/>
                <w:sz w:val="18"/>
                <w:szCs w:val="18"/>
                <w:highlight w:val="none"/>
                <w:lang w:val="en-US" w:eastAsia="zh-CN"/>
              </w:rPr>
              <w:t>5</w:t>
            </w:r>
            <w:r>
              <w:rPr>
                <w:rFonts w:hint="eastAsia" w:ascii="仿宋" w:hAnsi="仿宋" w:eastAsia="仿宋" w:cs="宋体"/>
                <w:color w:val="auto"/>
                <w:sz w:val="18"/>
                <w:szCs w:val="18"/>
                <w:highlight w:val="none"/>
              </w:rPr>
              <w:t>.0</w:t>
            </w:r>
          </w:p>
          <w:p>
            <w:pPr>
              <w:ind w:left="0" w:leftChars="0" w:firstLine="0"/>
              <w:jc w:val="left"/>
              <w:rPr>
                <w:rFonts w:hint="eastAsia"/>
                <w:lang w:val="en-US" w:eastAsia="zh-CN"/>
              </w:rPr>
            </w:pPr>
            <w:r>
              <w:rPr>
                <w:rFonts w:hint="eastAsia" w:ascii="仿宋" w:hAnsi="仿宋" w:eastAsia="仿宋" w:cs="宋体"/>
                <w:i w:val="0"/>
                <w:iCs w:val="0"/>
                <w:color w:val="auto"/>
                <w:kern w:val="2"/>
                <w:sz w:val="18"/>
                <w:szCs w:val="18"/>
                <w:highlight w:val="none"/>
                <w:u w:val="none"/>
                <w:lang w:val="en-US" w:eastAsia="zh-CN" w:bidi="ar"/>
              </w:rPr>
              <w:t>浙江湃肽生物股份有限公司</w:t>
            </w:r>
            <w:r>
              <w:rPr>
                <w:rFonts w:hint="eastAsia" w:ascii="仿宋" w:hAnsi="仿宋" w:eastAsia="仿宋" w:cs="宋体"/>
                <w:color w:val="auto"/>
                <w:sz w:val="18"/>
                <w:szCs w:val="18"/>
                <w:highlight w:val="none"/>
                <w:u w:val="none"/>
                <w:lang w:val="en-US" w:eastAsia="zh-CN" w:bidi="ar"/>
              </w:rPr>
              <w:t>：≥</w:t>
            </w:r>
            <w:r>
              <w:rPr>
                <w:rFonts w:hint="eastAsia" w:ascii="仿宋" w:hAnsi="仿宋" w:eastAsia="仿宋" w:cs="宋体"/>
                <w:color w:val="auto"/>
                <w:sz w:val="18"/>
                <w:szCs w:val="18"/>
                <w:highlight w:val="none"/>
                <w:u w:val="none"/>
                <w:lang w:bidi="ar"/>
              </w:rPr>
              <w:t>9</w:t>
            </w:r>
            <w:r>
              <w:rPr>
                <w:rFonts w:hint="eastAsia" w:ascii="仿宋" w:hAnsi="仿宋" w:eastAsia="仿宋" w:cs="宋体"/>
                <w:color w:val="auto"/>
                <w:sz w:val="18"/>
                <w:szCs w:val="18"/>
                <w:highlight w:val="none"/>
                <w:u w:val="none"/>
                <w:lang w:val="en-US" w:eastAsia="zh-CN" w:bidi="ar"/>
              </w:rPr>
              <w:t>5</w:t>
            </w:r>
            <w:r>
              <w:rPr>
                <w:rFonts w:hint="eastAsia" w:ascii="仿宋" w:hAnsi="仿宋" w:eastAsia="仿宋" w:cs="宋体"/>
                <w:color w:val="auto"/>
                <w:sz w:val="18"/>
                <w:szCs w:val="18"/>
                <w:highlight w:val="none"/>
                <w:u w:val="none"/>
                <w:lang w:bidi="ar"/>
              </w:rPr>
              <w:t>.0</w:t>
            </w:r>
          </w:p>
        </w:tc>
        <w:tc>
          <w:tcPr>
            <w:tcW w:w="1870" w:type="dxa"/>
            <w:vAlign w:val="center"/>
          </w:tcPr>
          <w:p>
            <w:pPr>
              <w:ind w:left="0" w:leftChars="0" w:firstLine="0"/>
              <w:jc w:val="left"/>
              <w:rPr>
                <w:rFonts w:ascii="仿宋" w:hAnsi="仿宋" w:eastAsia="仿宋" w:cs="仿宋"/>
                <w:color w:val="auto"/>
                <w:sz w:val="18"/>
                <w:szCs w:val="18"/>
                <w:highlight w:val="none"/>
              </w:rPr>
            </w:pPr>
            <w:r>
              <w:rPr>
                <w:rFonts w:hint="eastAsia" w:ascii="仿宋" w:hAnsi="仿宋" w:eastAsia="仿宋" w:cs="宋体"/>
                <w:color w:val="auto"/>
                <w:sz w:val="18"/>
                <w:szCs w:val="18"/>
                <w:highlight w:val="none"/>
              </w:rPr>
              <w:t>《中国药典》</w:t>
            </w:r>
            <w:r>
              <w:rPr>
                <w:rFonts w:hint="eastAsia" w:ascii="仿宋" w:hAnsi="仿宋" w:eastAsia="仿宋" w:cs="宋体"/>
                <w:color w:val="auto"/>
                <w:sz w:val="18"/>
                <w:szCs w:val="18"/>
                <w:highlight w:val="none"/>
                <w:lang w:val="en-US" w:eastAsia="zh-CN"/>
              </w:rPr>
              <w:t xml:space="preserve">四部 </w:t>
            </w:r>
            <w:r>
              <w:rPr>
                <w:rFonts w:hint="eastAsia" w:ascii="仿宋" w:hAnsi="仿宋" w:eastAsia="仿宋" w:cs="宋体"/>
                <w:color w:val="auto"/>
                <w:sz w:val="18"/>
                <w:szCs w:val="18"/>
                <w:highlight w:val="none"/>
              </w:rPr>
              <w:t>通则</w:t>
            </w:r>
            <w:r>
              <w:rPr>
                <w:rFonts w:ascii="仿宋" w:hAnsi="仿宋" w:eastAsia="仿宋" w:cs="宋体"/>
                <w:color w:val="auto"/>
                <w:sz w:val="18"/>
                <w:szCs w:val="18"/>
                <w:highlight w:val="none"/>
              </w:rPr>
              <w:t>0512</w:t>
            </w:r>
            <w:r>
              <w:rPr>
                <w:rFonts w:hint="eastAsia" w:ascii="仿宋" w:hAnsi="仿宋" w:eastAsia="仿宋" w:cs="宋体"/>
                <w:color w:val="auto"/>
                <w:sz w:val="18"/>
                <w:szCs w:val="18"/>
                <w:highlight w:val="none"/>
                <w:lang w:val="en-US" w:eastAsia="zh-CN"/>
              </w:rPr>
              <w:t xml:space="preserve"> </w:t>
            </w:r>
            <w:r>
              <w:rPr>
                <w:rFonts w:hint="eastAsia" w:ascii="仿宋" w:hAnsi="仿宋" w:eastAsia="仿宋" w:cs="宋体"/>
                <w:color w:val="auto"/>
                <w:sz w:val="18"/>
                <w:szCs w:val="18"/>
                <w:highlight w:val="none"/>
              </w:rPr>
              <w:t>高效液相色谱仪法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continue"/>
            <w:vAlign w:val="center"/>
          </w:tcPr>
          <w:p>
            <w:pPr>
              <w:snapToGrid w:val="0"/>
              <w:rPr>
                <w:rFonts w:ascii="仿宋" w:hAnsi="仿宋" w:eastAsia="仿宋" w:cs="仿宋"/>
                <w:color w:val="auto"/>
                <w:sz w:val="18"/>
                <w:szCs w:val="18"/>
                <w:highlight w:val="none"/>
              </w:rPr>
            </w:pPr>
          </w:p>
        </w:tc>
        <w:tc>
          <w:tcPr>
            <w:tcW w:w="1969" w:type="dxa"/>
            <w:tcBorders>
              <w:bottom w:val="single" w:color="auto" w:sz="4" w:space="0"/>
            </w:tcBorders>
            <w:vAlign w:val="center"/>
          </w:tcPr>
          <w:p>
            <w:pPr>
              <w:ind w:left="-34" w:leftChars="-17" w:hanging="2" w:firstLineChars="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醋酸含量/%：</w:t>
            </w:r>
            <w:r>
              <w:rPr>
                <w:rFonts w:hint="eastAsia" w:ascii="仿宋" w:hAnsi="仿宋" w:eastAsia="仿宋" w:cs="仿宋"/>
                <w:b w:val="0"/>
                <w:bCs w:val="0"/>
                <w:color w:val="auto"/>
                <w:spacing w:val="0"/>
                <w:sz w:val="18"/>
                <w:szCs w:val="18"/>
                <w:highlight w:val="none"/>
                <w:lang w:val="en-US" w:eastAsia="zh-CN"/>
              </w:rPr>
              <w:t>≤3.0</w:t>
            </w:r>
          </w:p>
        </w:tc>
        <w:tc>
          <w:tcPr>
            <w:tcW w:w="3409" w:type="dxa"/>
            <w:vAlign w:val="center"/>
          </w:tcPr>
          <w:p>
            <w:pPr>
              <w:jc w:val="left"/>
              <w:rPr>
                <w:rFonts w:hint="eastAsia" w:ascii="仿宋" w:hAnsi="仿宋" w:eastAsia="仿宋" w:cs="宋体"/>
                <w:color w:val="auto"/>
                <w:sz w:val="18"/>
                <w:szCs w:val="18"/>
                <w:highlight w:val="none"/>
              </w:rPr>
            </w:pPr>
            <w:r>
              <w:rPr>
                <w:rFonts w:hint="eastAsia" w:ascii="仿宋" w:hAnsi="仿宋" w:eastAsia="仿宋" w:cs="宋体"/>
                <w:color w:val="auto"/>
                <w:sz w:val="18"/>
                <w:szCs w:val="18"/>
                <w:highlight w:val="none"/>
              </w:rPr>
              <w:t>根据行业可接受的标准制定本指标。</w:t>
            </w:r>
          </w:p>
          <w:p>
            <w:pPr>
              <w:ind w:left="-34" w:leftChars="-17" w:hanging="2"/>
              <w:jc w:val="left"/>
              <w:rPr>
                <w:rFonts w:hint="default" w:ascii="仿宋" w:hAnsi="仿宋" w:eastAsia="仿宋" w:cs="宋体"/>
                <w:color w:val="auto"/>
                <w:sz w:val="18"/>
                <w:szCs w:val="18"/>
                <w:highlight w:val="none"/>
                <w:lang w:val="en-US" w:eastAsia="zh-CN"/>
              </w:rPr>
            </w:pPr>
            <w:r>
              <w:rPr>
                <w:rFonts w:hint="eastAsia" w:ascii="仿宋" w:hAnsi="仿宋" w:eastAsia="仿宋" w:cs="宋体"/>
                <w:color w:val="auto"/>
                <w:sz w:val="18"/>
                <w:szCs w:val="18"/>
                <w:highlight w:val="none"/>
              </w:rPr>
              <w:t>四川艾美佳生物技术生物有限公司</w:t>
            </w:r>
            <w:r>
              <w:rPr>
                <w:rFonts w:hint="eastAsia" w:ascii="仿宋" w:hAnsi="仿宋" w:eastAsia="仿宋" w:cs="宋体"/>
                <w:color w:val="auto"/>
                <w:sz w:val="18"/>
                <w:szCs w:val="18"/>
                <w:highlight w:val="none"/>
                <w:lang w:eastAsia="zh-CN"/>
              </w:rPr>
              <w:t>：</w:t>
            </w:r>
            <w:r>
              <w:rPr>
                <w:rFonts w:hint="eastAsia" w:ascii="仿宋" w:hAnsi="仿宋" w:eastAsia="仿宋" w:cs="宋体"/>
                <w:color w:val="auto"/>
                <w:sz w:val="18"/>
                <w:szCs w:val="18"/>
                <w:highlight w:val="none"/>
              </w:rPr>
              <w:t>≤</w:t>
            </w:r>
            <w:r>
              <w:rPr>
                <w:rFonts w:hint="eastAsia" w:ascii="仿宋" w:hAnsi="仿宋" w:eastAsia="仿宋" w:cs="宋体"/>
                <w:color w:val="auto"/>
                <w:sz w:val="18"/>
                <w:szCs w:val="18"/>
                <w:highlight w:val="none"/>
                <w:lang w:val="en-US" w:eastAsia="zh-CN"/>
              </w:rPr>
              <w:t>3.0</w:t>
            </w:r>
          </w:p>
          <w:p>
            <w:pPr>
              <w:ind w:left="-34" w:leftChars="-17" w:hanging="2"/>
              <w:jc w:val="left"/>
              <w:rPr>
                <w:rFonts w:hint="default" w:ascii="仿宋" w:hAnsi="仿宋" w:eastAsia="仿宋" w:cs="仿宋"/>
                <w:color w:val="auto"/>
                <w:sz w:val="18"/>
                <w:szCs w:val="18"/>
                <w:highlight w:val="none"/>
                <w:lang w:val="en-US"/>
              </w:rPr>
            </w:pPr>
            <w:r>
              <w:rPr>
                <w:rFonts w:hint="eastAsia" w:ascii="仿宋" w:hAnsi="仿宋" w:eastAsia="仿宋" w:cs="宋体"/>
                <w:i w:val="0"/>
                <w:iCs w:val="0"/>
                <w:color w:val="auto"/>
                <w:kern w:val="2"/>
                <w:sz w:val="18"/>
                <w:szCs w:val="18"/>
                <w:highlight w:val="none"/>
                <w:u w:val="none"/>
                <w:lang w:val="en-US" w:eastAsia="zh-CN" w:bidi="ar"/>
              </w:rPr>
              <w:t>浙江湃肽生物股份有限公司</w:t>
            </w:r>
            <w:r>
              <w:rPr>
                <w:rFonts w:hint="eastAsia" w:ascii="仿宋" w:hAnsi="仿宋" w:eastAsia="仿宋" w:cs="宋体"/>
                <w:color w:val="auto"/>
                <w:sz w:val="18"/>
                <w:szCs w:val="18"/>
                <w:highlight w:val="none"/>
                <w:u w:val="none"/>
                <w:lang w:val="en-US" w:eastAsia="zh-CN" w:bidi="ar"/>
              </w:rPr>
              <w:t>：</w:t>
            </w:r>
            <w:r>
              <w:rPr>
                <w:rFonts w:hint="eastAsia" w:ascii="仿宋" w:hAnsi="仿宋" w:eastAsia="仿宋" w:cs="宋体"/>
                <w:color w:val="auto"/>
                <w:sz w:val="18"/>
                <w:szCs w:val="18"/>
                <w:highlight w:val="none"/>
                <w:u w:val="none"/>
                <w:lang w:bidi="ar"/>
              </w:rPr>
              <w:t>≤</w:t>
            </w:r>
            <w:r>
              <w:rPr>
                <w:rFonts w:hint="eastAsia" w:ascii="仿宋" w:hAnsi="仿宋" w:eastAsia="仿宋" w:cs="宋体"/>
                <w:color w:val="auto"/>
                <w:sz w:val="18"/>
                <w:szCs w:val="18"/>
                <w:highlight w:val="none"/>
                <w:u w:val="none"/>
                <w:lang w:val="en-US" w:eastAsia="zh-CN" w:bidi="ar"/>
              </w:rPr>
              <w:t>3.0</w:t>
            </w:r>
          </w:p>
        </w:tc>
        <w:tc>
          <w:tcPr>
            <w:tcW w:w="1870" w:type="dxa"/>
            <w:vAlign w:val="center"/>
          </w:tcPr>
          <w:p>
            <w:pPr>
              <w:ind w:left="-34" w:leftChars="-17" w:hanging="2"/>
              <w:jc w:val="left"/>
              <w:rPr>
                <w:rFonts w:ascii="仿宋" w:hAnsi="仿宋" w:eastAsia="仿宋" w:cs="仿宋"/>
                <w:color w:val="auto"/>
                <w:sz w:val="18"/>
                <w:szCs w:val="18"/>
                <w:highlight w:val="none"/>
              </w:rPr>
            </w:pPr>
            <w:r>
              <w:rPr>
                <w:rFonts w:hint="eastAsia" w:ascii="仿宋" w:hAnsi="仿宋" w:eastAsia="仿宋" w:cs="宋体"/>
                <w:color w:val="auto"/>
                <w:spacing w:val="0"/>
                <w:w w:val="100"/>
                <w:position w:val="0"/>
                <w:sz w:val="18"/>
                <w:szCs w:val="18"/>
                <w:highlight w:val="none"/>
              </w:rPr>
              <w:t>《中国药典》</w:t>
            </w:r>
            <w:r>
              <w:rPr>
                <w:rFonts w:hint="eastAsia" w:ascii="仿宋" w:hAnsi="仿宋" w:eastAsia="仿宋" w:cs="仿宋"/>
                <w:color w:val="auto"/>
                <w:spacing w:val="0"/>
                <w:w w:val="100"/>
                <w:position w:val="0"/>
                <w:sz w:val="18"/>
                <w:szCs w:val="18"/>
                <w:highlight w:val="none"/>
                <w:lang w:val="en-US" w:eastAsia="zh-CN"/>
              </w:rPr>
              <w:t xml:space="preserve">四部 </w:t>
            </w:r>
            <w:r>
              <w:rPr>
                <w:rFonts w:hint="eastAsia" w:ascii="仿宋" w:hAnsi="仿宋" w:eastAsia="仿宋" w:cs="宋体"/>
                <w:color w:val="auto"/>
                <w:sz w:val="18"/>
                <w:szCs w:val="18"/>
                <w:highlight w:val="none"/>
              </w:rPr>
              <w:t>通则</w:t>
            </w:r>
            <w:r>
              <w:rPr>
                <w:rFonts w:hint="eastAsia" w:ascii="仿宋" w:hAnsi="仿宋" w:eastAsia="仿宋" w:cs="宋体"/>
                <w:color w:val="auto"/>
                <w:spacing w:val="0"/>
                <w:w w:val="100"/>
                <w:position w:val="0"/>
                <w:sz w:val="18"/>
                <w:szCs w:val="18"/>
                <w:highlight w:val="none"/>
                <w:lang w:val="en-US" w:eastAsia="zh-CN"/>
              </w:rPr>
              <w:t>0872 合成多肽中的醋酸测定法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restart"/>
            <w:vAlign w:val="center"/>
          </w:tcPr>
          <w:p>
            <w:pPr>
              <w:snapToGrid w:val="0"/>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微生物及有害物质指标</w:t>
            </w:r>
          </w:p>
        </w:tc>
        <w:tc>
          <w:tcPr>
            <w:tcW w:w="1969" w:type="dxa"/>
            <w:tcBorders>
              <w:top w:val="single" w:color="auto" w:sz="4" w:space="0"/>
              <w:left w:val="single" w:color="auto" w:sz="4" w:space="0"/>
              <w:bottom w:val="single" w:color="auto" w:sz="4" w:space="0"/>
            </w:tcBorders>
            <w:vAlign w:val="center"/>
          </w:tcPr>
          <w:p>
            <w:pPr>
              <w:snapToGrid w:val="0"/>
              <w:jc w:val="left"/>
              <w:rPr>
                <w:rFonts w:ascii="仿宋" w:hAnsi="仿宋" w:eastAsia="仿宋" w:cs="仿宋"/>
                <w:color w:val="auto"/>
                <w:kern w:val="0"/>
                <w:sz w:val="18"/>
                <w:szCs w:val="18"/>
                <w:highlight w:val="none"/>
                <w:lang w:val="en-US" w:eastAsia="zh-CN" w:bidi="ar-SA"/>
              </w:rPr>
            </w:pPr>
            <w:r>
              <w:rPr>
                <w:rFonts w:hint="eastAsia" w:ascii="仿宋" w:hAnsi="仿宋" w:eastAsia="仿宋" w:cs="仿宋"/>
                <w:color w:val="auto"/>
                <w:sz w:val="18"/>
                <w:szCs w:val="18"/>
                <w:highlight w:val="none"/>
                <w:lang w:val="en-US" w:eastAsia="zh-CN"/>
              </w:rPr>
              <w:t>乙腈/（mg/kg）：≤200</w:t>
            </w:r>
          </w:p>
        </w:tc>
        <w:tc>
          <w:tcPr>
            <w:tcW w:w="3409" w:type="dxa"/>
            <w:vAlign w:val="center"/>
          </w:tcPr>
          <w:p>
            <w:pPr>
              <w:pStyle w:val="30"/>
              <w:ind w:firstLine="0" w:firstLineChars="0"/>
              <w:jc w:val="left"/>
              <w:rPr>
                <w:rFonts w:ascii="仿宋" w:hAnsi="仿宋" w:eastAsia="仿宋" w:cs="仿宋"/>
                <w:color w:val="auto"/>
                <w:kern w:val="2"/>
                <w:sz w:val="18"/>
                <w:szCs w:val="18"/>
                <w:highlight w:val="none"/>
                <w:lang w:val="en-US" w:eastAsia="zh-CN" w:bidi="ar-SA"/>
              </w:rPr>
            </w:pPr>
            <w:r>
              <w:rPr>
                <w:rFonts w:hint="eastAsia" w:ascii="仿宋" w:hAnsi="仿宋" w:eastAsia="仿宋" w:cs="仿宋"/>
                <w:color w:val="auto"/>
                <w:spacing w:val="0"/>
                <w:w w:val="100"/>
                <w:position w:val="0"/>
                <w:sz w:val="18"/>
                <w:szCs w:val="18"/>
                <w:highlight w:val="none"/>
                <w:lang w:val="en-US" w:eastAsia="zh-CN"/>
              </w:rPr>
              <w:t>严于《中国药典》四部通则 0861残留溶剂测定法</w:t>
            </w:r>
            <w:r>
              <w:rPr>
                <w:rFonts w:hint="eastAsia" w:ascii="仿宋" w:hAnsi="仿宋" w:eastAsia="仿宋" w:cs="仿宋"/>
                <w:color w:val="auto"/>
                <w:spacing w:val="0"/>
                <w:w w:val="100"/>
                <w:position w:val="0"/>
                <w:sz w:val="18"/>
                <w:szCs w:val="18"/>
                <w:highlight w:val="none"/>
              </w:rPr>
              <w:t>≤</w:t>
            </w:r>
            <w:r>
              <w:rPr>
                <w:rFonts w:hint="eastAsia" w:ascii="仿宋" w:hAnsi="仿宋" w:eastAsia="仿宋" w:cs="仿宋"/>
                <w:color w:val="auto"/>
                <w:spacing w:val="0"/>
                <w:w w:val="100"/>
                <w:position w:val="0"/>
                <w:sz w:val="18"/>
                <w:szCs w:val="18"/>
                <w:highlight w:val="none"/>
                <w:lang w:val="en-US" w:eastAsia="zh-CN"/>
              </w:rPr>
              <w:t>410</w:t>
            </w:r>
            <w:r>
              <w:rPr>
                <w:rFonts w:hint="eastAsia" w:ascii="仿宋" w:hAnsi="仿宋" w:eastAsia="仿宋" w:cs="仿宋"/>
                <w:color w:val="auto"/>
                <w:spacing w:val="0"/>
                <w:w w:val="100"/>
                <w:position w:val="0"/>
                <w:sz w:val="18"/>
                <w:szCs w:val="18"/>
                <w:highlight w:val="none"/>
              </w:rPr>
              <w:t>mg/kg</w:t>
            </w:r>
            <w:r>
              <w:rPr>
                <w:rFonts w:hint="eastAsia" w:ascii="仿宋" w:hAnsi="仿宋" w:eastAsia="仿宋" w:cs="仿宋"/>
                <w:color w:val="auto"/>
                <w:spacing w:val="0"/>
                <w:w w:val="100"/>
                <w:position w:val="0"/>
                <w:sz w:val="18"/>
                <w:szCs w:val="18"/>
                <w:highlight w:val="none"/>
                <w:lang w:val="en-US" w:eastAsia="zh-CN"/>
              </w:rPr>
              <w:t>的限值</w:t>
            </w:r>
            <w:r>
              <w:rPr>
                <w:rFonts w:hint="eastAsia" w:ascii="仿宋" w:hAnsi="仿宋" w:eastAsia="仿宋" w:cs="仿宋"/>
                <w:color w:val="auto"/>
                <w:spacing w:val="0"/>
                <w:w w:val="100"/>
                <w:position w:val="0"/>
                <w:sz w:val="18"/>
                <w:szCs w:val="18"/>
                <w:highlight w:val="none"/>
              </w:rPr>
              <w:t>规定</w:t>
            </w:r>
          </w:p>
        </w:tc>
        <w:tc>
          <w:tcPr>
            <w:tcW w:w="1870" w:type="dxa"/>
            <w:vAlign w:val="center"/>
          </w:tcPr>
          <w:p>
            <w:pPr>
              <w:pStyle w:val="30"/>
              <w:ind w:firstLine="0" w:firstLineChars="0"/>
              <w:jc w:val="left"/>
              <w:rPr>
                <w:rFonts w:ascii="仿宋" w:hAnsi="仿宋" w:eastAsia="仿宋" w:cs="仿宋"/>
                <w:color w:val="auto"/>
                <w:sz w:val="18"/>
                <w:szCs w:val="18"/>
                <w:highlight w:val="none"/>
                <w:lang w:val="en-US" w:eastAsia="zh-CN" w:bidi="ar-SA"/>
              </w:rPr>
            </w:pPr>
            <w:r>
              <w:rPr>
                <w:rFonts w:hint="eastAsia" w:ascii="仿宋" w:hAnsi="仿宋" w:eastAsia="仿宋" w:cs="仿宋"/>
                <w:color w:val="auto"/>
                <w:sz w:val="18"/>
                <w:szCs w:val="18"/>
                <w:highlight w:val="none"/>
              </w:rPr>
              <w:t>化妆品安全技术规范2015年版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continue"/>
            <w:vAlign w:val="center"/>
          </w:tcPr>
          <w:p>
            <w:pPr>
              <w:snapToGrid w:val="0"/>
              <w:rPr>
                <w:rFonts w:ascii="仿宋" w:hAnsi="仿宋" w:eastAsia="仿宋" w:cs="仿宋"/>
                <w:color w:val="auto"/>
                <w:kern w:val="0"/>
                <w:sz w:val="18"/>
                <w:szCs w:val="18"/>
                <w:highlight w:val="none"/>
              </w:rPr>
            </w:pPr>
          </w:p>
        </w:tc>
        <w:tc>
          <w:tcPr>
            <w:tcW w:w="1969" w:type="dxa"/>
            <w:tcBorders>
              <w:top w:val="single" w:color="auto" w:sz="4" w:space="0"/>
              <w:left w:val="single" w:color="auto" w:sz="4" w:space="0"/>
              <w:bottom w:val="single" w:color="auto" w:sz="4" w:space="0"/>
            </w:tcBorders>
            <w:vAlign w:val="center"/>
          </w:tcPr>
          <w:p>
            <w:pPr>
              <w:snapToGrid w:val="0"/>
              <w:jc w:val="left"/>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sz w:val="18"/>
                <w:szCs w:val="18"/>
                <w:highlight w:val="none"/>
              </w:rPr>
              <w:t>铅/ (mg/kg)</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≤10.0</w:t>
            </w:r>
          </w:p>
        </w:tc>
        <w:tc>
          <w:tcPr>
            <w:tcW w:w="3409" w:type="dxa"/>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铅/ (mg/kg)  ≤10</w:t>
            </w:r>
          </w:p>
        </w:tc>
        <w:tc>
          <w:tcPr>
            <w:tcW w:w="1870" w:type="dxa"/>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化妆品安全技术规范2015年版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continue"/>
            <w:vAlign w:val="center"/>
          </w:tcPr>
          <w:p>
            <w:pPr>
              <w:snapToGrid w:val="0"/>
              <w:rPr>
                <w:rFonts w:ascii="仿宋" w:hAnsi="仿宋" w:eastAsia="仿宋" w:cs="仿宋"/>
                <w:color w:val="auto"/>
                <w:kern w:val="0"/>
                <w:sz w:val="18"/>
                <w:szCs w:val="18"/>
                <w:highlight w:val="none"/>
              </w:rPr>
            </w:pPr>
          </w:p>
        </w:tc>
        <w:tc>
          <w:tcPr>
            <w:tcW w:w="1969" w:type="dxa"/>
            <w:tcBorders>
              <w:top w:val="single" w:color="auto" w:sz="4" w:space="0"/>
              <w:left w:val="single" w:color="auto" w:sz="4" w:space="0"/>
              <w:bottom w:val="single" w:color="auto" w:sz="4" w:space="0"/>
            </w:tcBorders>
            <w:vAlign w:val="center"/>
          </w:tcPr>
          <w:p>
            <w:pPr>
              <w:snapToGrid w:val="0"/>
              <w:jc w:val="left"/>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sz w:val="18"/>
                <w:szCs w:val="18"/>
                <w:highlight w:val="none"/>
              </w:rPr>
              <w:t>镉/（mg/kg）</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≤5.0</w:t>
            </w:r>
          </w:p>
        </w:tc>
        <w:tc>
          <w:tcPr>
            <w:tcW w:w="3409" w:type="dxa"/>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镉/（mg/kg）</w:t>
            </w:r>
            <w:r>
              <w:rPr>
                <w:rFonts w:hint="eastAsia" w:ascii="仿宋" w:hAnsi="仿宋" w:eastAsia="仿宋" w:cs="仿宋"/>
                <w:color w:val="auto"/>
                <w:sz w:val="18"/>
                <w:szCs w:val="18"/>
                <w:highlight w:val="none"/>
                <w:lang w:val="en-US" w:eastAsia="zh-CN"/>
              </w:rPr>
              <w:t xml:space="preserve"> </w:t>
            </w:r>
            <w:r>
              <w:rPr>
                <w:rFonts w:hint="eastAsia" w:ascii="仿宋" w:hAnsi="仿宋" w:eastAsia="仿宋" w:cs="仿宋"/>
                <w:color w:val="auto"/>
                <w:sz w:val="18"/>
                <w:szCs w:val="18"/>
                <w:highlight w:val="none"/>
              </w:rPr>
              <w:t>≤5</w:t>
            </w:r>
          </w:p>
        </w:tc>
        <w:tc>
          <w:tcPr>
            <w:tcW w:w="1870" w:type="dxa"/>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kern w:val="0"/>
                <w:sz w:val="18"/>
                <w:szCs w:val="18"/>
                <w:highlight w:val="none"/>
              </w:rPr>
              <w:t>化妆品安全技术规范2015年版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continue"/>
            <w:vAlign w:val="center"/>
          </w:tcPr>
          <w:p>
            <w:pPr>
              <w:snapToGrid w:val="0"/>
              <w:rPr>
                <w:rFonts w:ascii="仿宋" w:hAnsi="仿宋" w:eastAsia="仿宋" w:cs="仿宋"/>
                <w:color w:val="auto"/>
                <w:kern w:val="0"/>
                <w:sz w:val="18"/>
                <w:szCs w:val="18"/>
                <w:highlight w:val="none"/>
              </w:rPr>
            </w:pPr>
          </w:p>
        </w:tc>
        <w:tc>
          <w:tcPr>
            <w:tcW w:w="1969" w:type="dxa"/>
            <w:tcBorders>
              <w:top w:val="single" w:color="auto" w:sz="4" w:space="0"/>
              <w:left w:val="single" w:color="auto" w:sz="4" w:space="0"/>
              <w:bottom w:val="single" w:color="auto" w:sz="4" w:space="0"/>
            </w:tcBorders>
            <w:vAlign w:val="center"/>
          </w:tcPr>
          <w:p>
            <w:pPr>
              <w:snapToGrid w:val="0"/>
              <w:jc w:val="left"/>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sz w:val="18"/>
                <w:szCs w:val="18"/>
                <w:highlight w:val="none"/>
              </w:rPr>
              <w:t>砷/ (mg/kg)</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≤2.0</w:t>
            </w:r>
          </w:p>
        </w:tc>
        <w:tc>
          <w:tcPr>
            <w:tcW w:w="3409" w:type="dxa"/>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砷/ (mg/kg)  ≤2</w:t>
            </w:r>
          </w:p>
        </w:tc>
        <w:tc>
          <w:tcPr>
            <w:tcW w:w="1870" w:type="dxa"/>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化妆品安全技术规范2015年版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continue"/>
            <w:vAlign w:val="center"/>
          </w:tcPr>
          <w:p>
            <w:pPr>
              <w:snapToGrid w:val="0"/>
              <w:rPr>
                <w:rFonts w:ascii="仿宋" w:hAnsi="仿宋" w:eastAsia="仿宋" w:cs="仿宋"/>
                <w:color w:val="auto"/>
                <w:kern w:val="0"/>
                <w:sz w:val="18"/>
                <w:szCs w:val="18"/>
                <w:highlight w:val="none"/>
              </w:rPr>
            </w:pPr>
          </w:p>
        </w:tc>
        <w:tc>
          <w:tcPr>
            <w:tcW w:w="1969" w:type="dxa"/>
            <w:tcBorders>
              <w:top w:val="single" w:color="auto" w:sz="4" w:space="0"/>
              <w:left w:val="single" w:color="auto" w:sz="4" w:space="0"/>
              <w:bottom w:val="single" w:color="auto" w:sz="4" w:space="0"/>
            </w:tcBorders>
            <w:vAlign w:val="center"/>
          </w:tcPr>
          <w:p>
            <w:pPr>
              <w:snapToGrid w:val="0"/>
              <w:jc w:val="left"/>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sz w:val="18"/>
                <w:szCs w:val="18"/>
                <w:highlight w:val="none"/>
              </w:rPr>
              <w:t>汞/ (mg/kg)</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≤1.0</w:t>
            </w:r>
          </w:p>
        </w:tc>
        <w:tc>
          <w:tcPr>
            <w:tcW w:w="3409" w:type="dxa"/>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汞/ (mg/kg) ≤1</w:t>
            </w:r>
          </w:p>
        </w:tc>
        <w:tc>
          <w:tcPr>
            <w:tcW w:w="1870" w:type="dxa"/>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kern w:val="0"/>
                <w:sz w:val="18"/>
                <w:szCs w:val="18"/>
                <w:highlight w:val="none"/>
              </w:rPr>
              <w:t>化妆品安全技术规范2015年版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continue"/>
            <w:vAlign w:val="center"/>
          </w:tcPr>
          <w:p>
            <w:pPr>
              <w:snapToGrid w:val="0"/>
              <w:rPr>
                <w:rFonts w:ascii="仿宋" w:hAnsi="仿宋" w:eastAsia="仿宋" w:cs="仿宋"/>
                <w:color w:val="auto"/>
                <w:kern w:val="0"/>
                <w:sz w:val="18"/>
                <w:szCs w:val="18"/>
                <w:highlight w:val="none"/>
              </w:rPr>
            </w:pPr>
          </w:p>
        </w:tc>
        <w:tc>
          <w:tcPr>
            <w:tcW w:w="1969" w:type="dxa"/>
            <w:tcBorders>
              <w:top w:val="single" w:color="auto" w:sz="4" w:space="0"/>
              <w:left w:val="single" w:color="auto" w:sz="4" w:space="0"/>
              <w:bottom w:val="single" w:color="auto" w:sz="4" w:space="0"/>
            </w:tcBorders>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菌落总数/（CFU/g）</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2</w:t>
            </w:r>
            <w:r>
              <w:rPr>
                <w:rFonts w:hint="eastAsia" w:ascii="仿宋" w:hAnsi="仿宋" w:eastAsia="仿宋" w:cs="仿宋"/>
                <w:color w:val="auto"/>
                <w:sz w:val="18"/>
                <w:szCs w:val="18"/>
                <w:highlight w:val="none"/>
              </w:rPr>
              <w:t>00</w:t>
            </w:r>
          </w:p>
        </w:tc>
        <w:tc>
          <w:tcPr>
            <w:tcW w:w="3409" w:type="dxa"/>
            <w:vAlign w:val="center"/>
          </w:tcPr>
          <w:p>
            <w:pPr>
              <w:pStyle w:val="30"/>
              <w:ind w:firstLine="0" w:firstLineChars="0"/>
              <w:jc w:val="left"/>
              <w:rPr>
                <w:rFonts w:hint="default" w:ascii="仿宋" w:hAnsi="仿宋" w:eastAsia="仿宋" w:cs="仿宋"/>
                <w:color w:val="auto"/>
                <w:kern w:val="2"/>
                <w:sz w:val="18"/>
                <w:szCs w:val="18"/>
                <w:highlight w:val="none"/>
                <w:lang w:val="en-US" w:eastAsia="zh-CN" w:bidi="ar-SA"/>
              </w:rPr>
            </w:pPr>
            <w:r>
              <w:rPr>
                <w:rFonts w:hint="eastAsia" w:ascii="仿宋" w:hAnsi="仿宋" w:eastAsia="仿宋" w:cs="仿宋"/>
                <w:color w:val="auto"/>
                <w:kern w:val="2"/>
                <w:sz w:val="18"/>
                <w:szCs w:val="18"/>
                <w:highlight w:val="none"/>
                <w:lang w:val="en-US" w:eastAsia="zh-CN"/>
              </w:rPr>
              <w:t>严于</w:t>
            </w:r>
            <w:r>
              <w:rPr>
                <w:rFonts w:hint="eastAsia" w:ascii="仿宋" w:hAnsi="仿宋" w:eastAsia="仿宋" w:cs="仿宋"/>
                <w:color w:val="auto"/>
                <w:kern w:val="2"/>
                <w:sz w:val="18"/>
                <w:szCs w:val="18"/>
                <w:highlight w:val="none"/>
              </w:rPr>
              <w:t>菌落总数/（CFU/g） ≤500</w:t>
            </w:r>
            <w:r>
              <w:rPr>
                <w:rFonts w:hint="eastAsia" w:ascii="仿宋" w:hAnsi="仿宋" w:eastAsia="仿宋" w:cs="仿宋"/>
                <w:color w:val="auto"/>
                <w:spacing w:val="0"/>
                <w:w w:val="100"/>
                <w:position w:val="0"/>
                <w:sz w:val="18"/>
                <w:szCs w:val="18"/>
                <w:highlight w:val="none"/>
                <w:lang w:val="en-US" w:eastAsia="zh-CN"/>
              </w:rPr>
              <w:t>的限值</w:t>
            </w:r>
            <w:r>
              <w:rPr>
                <w:rFonts w:hint="eastAsia" w:ascii="仿宋" w:hAnsi="仿宋" w:eastAsia="仿宋" w:cs="仿宋"/>
                <w:color w:val="auto"/>
                <w:spacing w:val="0"/>
                <w:w w:val="100"/>
                <w:position w:val="0"/>
                <w:sz w:val="18"/>
                <w:szCs w:val="18"/>
                <w:highlight w:val="none"/>
              </w:rPr>
              <w:t>规定</w:t>
            </w:r>
          </w:p>
        </w:tc>
        <w:tc>
          <w:tcPr>
            <w:tcW w:w="1870" w:type="dxa"/>
            <w:vAlign w:val="center"/>
          </w:tcPr>
          <w:p>
            <w:pPr>
              <w:pStyle w:val="30"/>
              <w:ind w:firstLine="0" w:firstLineChars="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化妆品安全技术规范2015年版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0" w:hRule="atLeast"/>
        </w:trPr>
        <w:tc>
          <w:tcPr>
            <w:tcW w:w="1048" w:type="dxa"/>
            <w:vMerge w:val="continue"/>
            <w:vAlign w:val="center"/>
          </w:tcPr>
          <w:p>
            <w:pPr>
              <w:snapToGrid w:val="0"/>
              <w:rPr>
                <w:rFonts w:ascii="仿宋" w:hAnsi="仿宋" w:eastAsia="仿宋" w:cs="仿宋"/>
                <w:color w:val="auto"/>
                <w:kern w:val="0"/>
                <w:sz w:val="18"/>
                <w:szCs w:val="18"/>
                <w:highlight w:val="none"/>
              </w:rPr>
            </w:pPr>
          </w:p>
        </w:tc>
        <w:tc>
          <w:tcPr>
            <w:tcW w:w="1969" w:type="dxa"/>
            <w:tcBorders>
              <w:top w:val="single" w:color="auto" w:sz="4" w:space="0"/>
              <w:left w:val="single" w:color="auto" w:sz="4" w:space="0"/>
              <w:bottom w:val="single" w:color="auto" w:sz="4" w:space="0"/>
            </w:tcBorders>
            <w:vAlign w:val="center"/>
          </w:tcPr>
          <w:p>
            <w:pPr>
              <w:snapToGrid w:val="0"/>
              <w:jc w:val="left"/>
              <w:rPr>
                <w:rFonts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霉菌和酵母菌总数</w:t>
            </w:r>
            <w:r>
              <w:rPr>
                <w:rFonts w:ascii="仿宋" w:hAnsi="仿宋" w:eastAsia="仿宋" w:cs="仿宋"/>
                <w:color w:val="auto"/>
                <w:sz w:val="18"/>
                <w:szCs w:val="18"/>
                <w:highlight w:val="none"/>
              </w:rPr>
              <w:t>/（CFU/g）</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5</w:t>
            </w:r>
            <w:r>
              <w:rPr>
                <w:rFonts w:ascii="仿宋" w:hAnsi="仿宋" w:eastAsia="仿宋" w:cs="仿宋"/>
                <w:color w:val="auto"/>
                <w:sz w:val="18"/>
                <w:szCs w:val="18"/>
                <w:highlight w:val="none"/>
              </w:rPr>
              <w:t>0</w:t>
            </w:r>
          </w:p>
        </w:tc>
        <w:tc>
          <w:tcPr>
            <w:tcW w:w="3409" w:type="dxa"/>
            <w:vAlign w:val="center"/>
          </w:tcPr>
          <w:p>
            <w:pPr>
              <w:pStyle w:val="30"/>
              <w:ind w:firstLine="0" w:firstLineChars="0"/>
              <w:jc w:val="left"/>
              <w:rPr>
                <w:rFonts w:ascii="仿宋" w:hAnsi="仿宋" w:eastAsia="仿宋" w:cs="仿宋"/>
                <w:color w:val="auto"/>
                <w:kern w:val="2"/>
                <w:sz w:val="18"/>
                <w:szCs w:val="18"/>
                <w:highlight w:val="none"/>
                <w:lang w:val="en-US" w:eastAsia="zh-CN" w:bidi="ar-SA"/>
              </w:rPr>
            </w:pPr>
            <w:r>
              <w:rPr>
                <w:rFonts w:hint="eastAsia" w:ascii="仿宋" w:hAnsi="仿宋" w:eastAsia="仿宋" w:cs="仿宋"/>
                <w:color w:val="auto"/>
                <w:kern w:val="2"/>
                <w:sz w:val="18"/>
                <w:szCs w:val="18"/>
                <w:highlight w:val="none"/>
                <w:lang w:val="en-US" w:eastAsia="zh-CN"/>
              </w:rPr>
              <w:t>严于</w:t>
            </w:r>
            <w:r>
              <w:rPr>
                <w:rFonts w:hint="eastAsia" w:ascii="仿宋" w:hAnsi="仿宋" w:eastAsia="仿宋" w:cs="仿宋"/>
                <w:color w:val="auto"/>
                <w:kern w:val="2"/>
                <w:sz w:val="18"/>
                <w:szCs w:val="18"/>
                <w:highlight w:val="none"/>
              </w:rPr>
              <w:t>霉菌和酵母菌总数</w:t>
            </w:r>
            <w:r>
              <w:rPr>
                <w:rFonts w:ascii="仿宋" w:hAnsi="仿宋" w:eastAsia="仿宋" w:cs="仿宋"/>
                <w:color w:val="auto"/>
                <w:kern w:val="2"/>
                <w:sz w:val="18"/>
                <w:szCs w:val="18"/>
                <w:highlight w:val="none"/>
              </w:rPr>
              <w:t xml:space="preserve">/（CFU/g） </w:t>
            </w:r>
            <w:r>
              <w:rPr>
                <w:rFonts w:hint="eastAsia" w:ascii="仿宋" w:hAnsi="仿宋" w:eastAsia="仿宋" w:cs="仿宋"/>
                <w:color w:val="auto"/>
                <w:kern w:val="2"/>
                <w:sz w:val="18"/>
                <w:szCs w:val="18"/>
                <w:highlight w:val="none"/>
              </w:rPr>
              <w:t>≤</w:t>
            </w:r>
            <w:r>
              <w:rPr>
                <w:rFonts w:ascii="仿宋" w:hAnsi="仿宋" w:eastAsia="仿宋" w:cs="仿宋"/>
                <w:color w:val="auto"/>
                <w:kern w:val="2"/>
                <w:sz w:val="18"/>
                <w:szCs w:val="18"/>
                <w:highlight w:val="none"/>
              </w:rPr>
              <w:t>100</w:t>
            </w:r>
            <w:r>
              <w:rPr>
                <w:rFonts w:hint="eastAsia" w:ascii="仿宋" w:hAnsi="仿宋" w:eastAsia="仿宋" w:cs="仿宋"/>
                <w:color w:val="auto"/>
                <w:spacing w:val="0"/>
                <w:w w:val="100"/>
                <w:position w:val="0"/>
                <w:sz w:val="18"/>
                <w:szCs w:val="18"/>
                <w:highlight w:val="none"/>
                <w:lang w:val="en-US" w:eastAsia="zh-CN"/>
              </w:rPr>
              <w:t>的限值</w:t>
            </w:r>
            <w:r>
              <w:rPr>
                <w:rFonts w:hint="eastAsia" w:ascii="仿宋" w:hAnsi="仿宋" w:eastAsia="仿宋" w:cs="仿宋"/>
                <w:color w:val="auto"/>
                <w:spacing w:val="0"/>
                <w:w w:val="100"/>
                <w:position w:val="0"/>
                <w:sz w:val="18"/>
                <w:szCs w:val="18"/>
                <w:highlight w:val="none"/>
              </w:rPr>
              <w:t>规定</w:t>
            </w:r>
          </w:p>
        </w:tc>
        <w:tc>
          <w:tcPr>
            <w:tcW w:w="1870" w:type="dxa"/>
            <w:vAlign w:val="center"/>
          </w:tcPr>
          <w:p>
            <w:pPr>
              <w:pStyle w:val="30"/>
              <w:ind w:firstLine="0" w:firstLineChars="0"/>
              <w:jc w:val="left"/>
              <w:rPr>
                <w:rFonts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化妆品安全技术规范</w:t>
            </w:r>
            <w:r>
              <w:rPr>
                <w:rFonts w:ascii="仿宋" w:hAnsi="仿宋" w:eastAsia="仿宋" w:cs="仿宋"/>
                <w:color w:val="auto"/>
                <w:sz w:val="18"/>
                <w:szCs w:val="18"/>
                <w:highlight w:val="none"/>
              </w:rPr>
              <w:t>2015年版</w:t>
            </w:r>
          </w:p>
        </w:tc>
      </w:tr>
    </w:tbl>
    <w:p>
      <w:pPr>
        <w:snapToGrid w:val="0"/>
        <w:jc w:val="left"/>
        <w:rPr>
          <w:rFonts w:hint="eastAsia" w:ascii="仿宋" w:hAnsi="仿宋" w:eastAsia="仿宋" w:cs="仿宋"/>
          <w:color w:val="auto"/>
          <w:kern w:val="0"/>
          <w:sz w:val="21"/>
          <w:szCs w:val="21"/>
          <w:highlight w:val="none"/>
        </w:rPr>
      </w:pPr>
    </w:p>
    <w:p>
      <w:pPr>
        <w:numPr>
          <w:ilvl w:val="0"/>
          <w:numId w:val="3"/>
        </w:numPr>
        <w:snapToGrid w:val="0"/>
        <w:jc w:val="left"/>
        <w:rPr>
          <w:rFonts w:ascii="仿宋" w:hAnsi="仿宋" w:eastAsia="仿宋" w:cs="仿宋"/>
          <w:color w:val="auto"/>
          <w:kern w:val="0"/>
          <w:sz w:val="21"/>
          <w:szCs w:val="21"/>
          <w:highlight w:val="none"/>
        </w:rPr>
      </w:pPr>
      <w:r>
        <w:rPr>
          <w:rFonts w:hint="eastAsia" w:ascii="仿宋" w:hAnsi="仿宋" w:eastAsia="仿宋" w:cs="仿宋"/>
          <w:b/>
          <w:bCs/>
          <w:color w:val="auto"/>
          <w:kern w:val="0"/>
          <w:sz w:val="21"/>
          <w:szCs w:val="21"/>
          <w:highlight w:val="none"/>
        </w:rPr>
        <w:t>团体标准《</w:t>
      </w:r>
      <w:r>
        <w:rPr>
          <w:rFonts w:ascii="仿宋" w:hAnsi="仿宋" w:eastAsia="仿宋" w:cs="仿宋"/>
          <w:b/>
          <w:bCs/>
          <w:color w:val="auto"/>
          <w:kern w:val="0"/>
          <w:sz w:val="21"/>
          <w:szCs w:val="21"/>
          <w:highlight w:val="none"/>
        </w:rPr>
        <w:t>化妆品用原料</w:t>
      </w:r>
      <w:r>
        <w:rPr>
          <w:rFonts w:hint="eastAsia" w:ascii="仿宋" w:hAnsi="仿宋" w:eastAsia="仿宋" w:cs="仿宋"/>
          <w:b/>
          <w:bCs/>
          <w:color w:val="auto"/>
          <w:kern w:val="0"/>
          <w:sz w:val="21"/>
          <w:szCs w:val="21"/>
          <w:highlight w:val="none"/>
          <w:lang w:val="en-US" w:eastAsia="zh-CN"/>
        </w:rPr>
        <w:t xml:space="preserve"> 六肽-11</w:t>
      </w:r>
      <w:r>
        <w:rPr>
          <w:rFonts w:hint="eastAsia" w:ascii="仿宋" w:hAnsi="仿宋" w:eastAsia="仿宋" w:cs="仿宋"/>
          <w:b/>
          <w:bCs/>
          <w:color w:val="auto"/>
          <w:kern w:val="0"/>
          <w:sz w:val="21"/>
          <w:szCs w:val="21"/>
          <w:highlight w:val="none"/>
        </w:rPr>
        <w:t>》6</w:t>
      </w:r>
      <w:r>
        <w:rPr>
          <w:rFonts w:ascii="仿宋" w:hAnsi="仿宋" w:eastAsia="仿宋" w:cs="仿宋"/>
          <w:b/>
          <w:bCs/>
          <w:color w:val="auto"/>
          <w:kern w:val="0"/>
          <w:sz w:val="21"/>
          <w:szCs w:val="21"/>
          <w:highlight w:val="none"/>
        </w:rPr>
        <w:t>.</w:t>
      </w:r>
      <w:r>
        <w:rPr>
          <w:rFonts w:hint="eastAsia" w:ascii="仿宋" w:hAnsi="仿宋" w:eastAsia="仿宋" w:cs="仿宋"/>
          <w:b/>
          <w:bCs/>
          <w:color w:val="auto"/>
          <w:kern w:val="0"/>
          <w:sz w:val="21"/>
          <w:szCs w:val="21"/>
          <w:highlight w:val="none"/>
          <w:lang w:val="en-US" w:eastAsia="zh-CN"/>
        </w:rPr>
        <w:t>7</w:t>
      </w:r>
      <w:r>
        <w:rPr>
          <w:rFonts w:ascii="仿宋" w:hAnsi="仿宋" w:eastAsia="仿宋" w:cs="仿宋"/>
          <w:b/>
          <w:bCs/>
          <w:color w:val="auto"/>
          <w:kern w:val="0"/>
          <w:sz w:val="21"/>
          <w:szCs w:val="21"/>
          <w:highlight w:val="none"/>
        </w:rPr>
        <w:t>含量检测方法验证</w:t>
      </w:r>
      <w:r>
        <w:rPr>
          <w:rFonts w:ascii="仿宋" w:hAnsi="仿宋" w:eastAsia="仿宋" w:cs="仿宋"/>
          <w:color w:val="auto"/>
          <w:kern w:val="0"/>
          <w:sz w:val="21"/>
          <w:szCs w:val="21"/>
          <w:highlight w:val="none"/>
        </w:rPr>
        <w:t>，详见附</w:t>
      </w:r>
      <w:r>
        <w:rPr>
          <w:rFonts w:hint="eastAsia" w:ascii="仿宋" w:hAnsi="仿宋" w:eastAsia="仿宋" w:cs="仿宋"/>
          <w:color w:val="auto"/>
          <w:kern w:val="0"/>
          <w:sz w:val="21"/>
          <w:szCs w:val="21"/>
          <w:highlight w:val="none"/>
          <w:lang w:val="en-US" w:eastAsia="zh-CN"/>
        </w:rPr>
        <w:t>件（</w:t>
      </w:r>
      <w:bookmarkStart w:id="1" w:name="_GoBack"/>
      <w:bookmarkEnd w:id="1"/>
      <w:r>
        <w:rPr>
          <w:rFonts w:hint="eastAsia" w:ascii="仿宋" w:hAnsi="仿宋" w:eastAsia="仿宋" w:cs="仿宋"/>
          <w:color w:val="auto"/>
          <w:kern w:val="0"/>
          <w:sz w:val="21"/>
          <w:szCs w:val="21"/>
          <w:highlight w:val="none"/>
          <w:lang w:val="en-US" w:eastAsia="zh-CN"/>
        </w:rPr>
        <w:t>因附件过大，需要者请联系协会）。</w:t>
      </w:r>
    </w:p>
    <w:p>
      <w:pPr>
        <w:pStyle w:val="2"/>
        <w:numPr>
          <w:ilvl w:val="0"/>
          <w:numId w:val="0"/>
        </w:numPr>
        <w:spacing w:line="360" w:lineRule="auto"/>
        <w:ind w:leftChars="0"/>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3.主要试验（或验证）情况分析</w:t>
      </w:r>
    </w:p>
    <w:p>
      <w:pPr>
        <w:pStyle w:val="2"/>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kern w:val="0"/>
          <w:sz w:val="21"/>
          <w:szCs w:val="21"/>
          <w:highlight w:val="none"/>
          <w:lang w:val="en-US" w:eastAsia="zh-CN" w:bidi="ar-SA"/>
        </w:rPr>
        <w:t>为了更好的了解目前</w:t>
      </w:r>
      <w:r>
        <w:rPr>
          <w:rFonts w:hint="eastAsia" w:ascii="仿宋" w:hAnsi="仿宋" w:eastAsia="仿宋" w:cs="仿宋"/>
          <w:color w:val="auto"/>
          <w:sz w:val="21"/>
          <w:szCs w:val="21"/>
          <w:highlight w:val="none"/>
          <w:lang w:val="zh-CN"/>
        </w:rPr>
        <w:t>行业</w:t>
      </w:r>
      <w:r>
        <w:rPr>
          <w:rFonts w:hint="eastAsia" w:ascii="仿宋" w:hAnsi="仿宋" w:eastAsia="仿宋" w:cs="仿宋"/>
          <w:color w:val="auto"/>
          <w:sz w:val="21"/>
          <w:szCs w:val="21"/>
          <w:highlight w:val="none"/>
          <w:lang w:val="en-US" w:eastAsia="zh-CN"/>
        </w:rPr>
        <w:t>内</w:t>
      </w:r>
      <w:r>
        <w:rPr>
          <w:rFonts w:hint="eastAsia" w:ascii="仿宋" w:hAnsi="仿宋" w:eastAsia="仿宋" w:cs="仿宋"/>
          <w:color w:val="auto"/>
          <w:kern w:val="0"/>
          <w:sz w:val="21"/>
          <w:szCs w:val="21"/>
          <w:highlight w:val="none"/>
          <w:lang w:val="en-US" w:eastAsia="zh-CN" w:bidi="ar-SA"/>
        </w:rPr>
        <w:t>六肽-11生产企业的质量情况，为技术指标的确定提供依据，起草工作组</w:t>
      </w:r>
      <w:r>
        <w:rPr>
          <w:rFonts w:hint="eastAsia" w:ascii="仿宋" w:hAnsi="仿宋" w:eastAsia="仿宋" w:cs="仿宋"/>
          <w:color w:val="auto"/>
          <w:sz w:val="21"/>
          <w:szCs w:val="21"/>
          <w:highlight w:val="none"/>
          <w:lang w:val="en-US" w:eastAsia="zh-CN"/>
        </w:rPr>
        <w:t>将在市面上收集到的其他</w:t>
      </w:r>
      <w:r>
        <w:rPr>
          <w:rFonts w:hint="eastAsia" w:ascii="仿宋" w:hAnsi="仿宋" w:eastAsia="仿宋" w:cs="仿宋"/>
          <w:color w:val="auto"/>
          <w:sz w:val="21"/>
          <w:szCs w:val="21"/>
          <w:highlight w:val="none"/>
          <w:lang w:val="zh-CN"/>
        </w:rPr>
        <w:t>主要生产厂家的产品</w:t>
      </w:r>
      <w:r>
        <w:rPr>
          <w:rFonts w:hint="eastAsia" w:ascii="仿宋" w:hAnsi="仿宋" w:eastAsia="仿宋" w:cs="仿宋"/>
          <w:color w:val="auto"/>
          <w:sz w:val="21"/>
          <w:szCs w:val="21"/>
          <w:highlight w:val="none"/>
          <w:lang w:val="en-US" w:eastAsia="zh-CN"/>
        </w:rPr>
        <w:t>按照《化妆品用原料 六肽-11》团体标准草案进行检测，感官指标和理化指标检测数据见表1：</w:t>
      </w:r>
    </w:p>
    <w:p>
      <w:pPr>
        <w:pStyle w:val="31"/>
        <w:tabs>
          <w:tab w:val="left" w:pos="839"/>
        </w:tabs>
        <w:spacing w:line="360" w:lineRule="auto"/>
        <w:ind w:left="480" w:firstLine="0" w:firstLineChars="0"/>
        <w:jc w:val="center"/>
        <w:rPr>
          <w:rFonts w:hint="default" w:ascii="宋体" w:hAnsi="宋体" w:eastAsia="宋体" w:cs="宋体"/>
          <w:color w:val="auto"/>
          <w:sz w:val="24"/>
          <w:szCs w:val="24"/>
          <w:highlight w:val="none"/>
          <w:lang w:val="en-US" w:eastAsia="zh-CN"/>
        </w:rPr>
      </w:pPr>
      <w:r>
        <w:rPr>
          <w:rFonts w:hint="eastAsia" w:ascii="仿宋" w:hAnsi="仿宋" w:eastAsia="仿宋" w:cs="仿宋"/>
          <w:color w:val="auto"/>
          <w:sz w:val="21"/>
          <w:szCs w:val="21"/>
          <w:highlight w:val="none"/>
          <w:lang w:val="zh-CN"/>
        </w:rPr>
        <w:t>表</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val="zh-CN"/>
        </w:rPr>
        <w:t xml:space="preserve"> 主要生产厂家产品的检测结果汇总</w:t>
      </w:r>
    </w:p>
    <w:tbl>
      <w:tblPr>
        <w:tblStyle w:val="12"/>
        <w:tblW w:w="861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39"/>
        <w:gridCol w:w="1196"/>
        <w:gridCol w:w="1196"/>
        <w:gridCol w:w="1196"/>
        <w:gridCol w:w="1196"/>
        <w:gridCol w:w="1196"/>
        <w:gridCol w:w="11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jc w:val="center"/>
        </w:trPr>
        <w:tc>
          <w:tcPr>
            <w:tcW w:w="1439" w:type="dxa"/>
            <w:vMerge w:val="restart"/>
            <w:tcBorders>
              <w:top w:val="single" w:color="000000" w:sz="4" w:space="0"/>
              <w:left w:val="single" w:color="000000" w:sz="4" w:space="0"/>
              <w:right w:val="single" w:color="000000" w:sz="4" w:space="0"/>
              <w:tl2br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line="480" w:lineRule="auto"/>
              <w:ind w:left="0" w:leftChars="0" w:right="0" w:firstLine="0" w:firstLineChars="0"/>
              <w:jc w:val="center"/>
              <w:textAlignment w:val="center"/>
              <w:rPr>
                <w:rStyle w:val="32"/>
                <w:rFonts w:hint="eastAsia" w:ascii="仿宋" w:hAnsi="仿宋" w:eastAsia="仿宋" w:cs="仿宋"/>
                <w:color w:val="auto"/>
                <w:sz w:val="18"/>
                <w:szCs w:val="18"/>
                <w:highlight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企业名称</w:t>
            </w:r>
          </w:p>
          <w:p>
            <w:pPr>
              <w:keepNext w:val="0"/>
              <w:keepLines w:val="0"/>
              <w:pageBreakBefore w:val="0"/>
              <w:widowControl/>
              <w:suppressLineNumbers w:val="0"/>
              <w:kinsoku/>
              <w:wordWrap/>
              <w:overflowPunct/>
              <w:topLinePunct w:val="0"/>
              <w:bidi w:val="0"/>
              <w:spacing w:line="480" w:lineRule="auto"/>
              <w:ind w:left="0" w:leftChars="0" w:right="0" w:firstLine="0" w:firstLineChars="0"/>
              <w:jc w:val="center"/>
              <w:textAlignment w:val="center"/>
              <w:rPr>
                <w:rFonts w:hint="eastAsia" w:ascii="仿宋" w:hAnsi="仿宋" w:eastAsia="仿宋" w:cs="仿宋"/>
                <w:i w:val="0"/>
                <w:iCs w:val="0"/>
                <w:color w:val="auto"/>
                <w:sz w:val="18"/>
                <w:szCs w:val="18"/>
                <w:highlight w:val="none"/>
                <w:u w:val="none"/>
                <w:lang w:val="en-US"/>
              </w:rPr>
            </w:pPr>
            <w:r>
              <w:rPr>
                <w:rFonts w:hint="eastAsia" w:ascii="仿宋" w:hAnsi="仿宋" w:eastAsia="仿宋" w:cs="仿宋"/>
                <w:i w:val="0"/>
                <w:iCs w:val="0"/>
                <w:color w:val="auto"/>
                <w:kern w:val="0"/>
                <w:sz w:val="18"/>
                <w:szCs w:val="18"/>
                <w:highlight w:val="none"/>
                <w:u w:val="none"/>
                <w:lang w:val="en-US" w:eastAsia="zh-CN" w:bidi="ar"/>
              </w:rPr>
              <w:t>项目指标</w:t>
            </w:r>
          </w:p>
        </w:tc>
        <w:tc>
          <w:tcPr>
            <w:tcW w:w="3588"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山东济肽生物科技有限公司</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both"/>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浙江湃肽生物股份有限公司</w:t>
            </w:r>
          </w:p>
        </w:tc>
        <w:tc>
          <w:tcPr>
            <w:tcW w:w="23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四川艾美佳生物技术有限公司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jc w:val="center"/>
        </w:trPr>
        <w:tc>
          <w:tcPr>
            <w:tcW w:w="1439" w:type="dxa"/>
            <w:vMerge w:val="continue"/>
            <w:tcBorders>
              <w:left w:val="single" w:color="000000" w:sz="4" w:space="0"/>
              <w:bottom w:val="single" w:color="000000" w:sz="4" w:space="0"/>
              <w:right w:val="single" w:color="000000" w:sz="4" w:space="0"/>
              <w:tl2br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color w:val="auto"/>
                <w:sz w:val="18"/>
                <w:szCs w:val="18"/>
                <w:highlight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YP1 20220622</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right="0" w:firstLine="0" w:firstLine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YP2</w:t>
            </w:r>
          </w:p>
          <w:p>
            <w:pPr>
              <w:pStyle w:val="2"/>
              <w:keepNext w:val="0"/>
              <w:keepLines w:val="0"/>
              <w:pageBreakBefore w:val="0"/>
              <w:widowControl/>
              <w:kinsoku/>
              <w:wordWrap/>
              <w:overflowPunct/>
              <w:topLinePunct w:val="0"/>
              <w:autoSpaceDE/>
              <w:autoSpaceDN/>
              <w:bidi w:val="0"/>
              <w:adjustRightInd/>
              <w:snapToGrid/>
              <w:ind w:firstLine="0" w:firstLineChars="0"/>
              <w:jc w:val="both"/>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20220407</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YP3</w:t>
            </w:r>
          </w:p>
          <w:p>
            <w:pPr>
              <w:pStyle w:val="2"/>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20211018</w:t>
            </w:r>
          </w:p>
        </w:tc>
        <w:tc>
          <w:tcPr>
            <w:tcW w:w="119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firstLine="360" w:firstLineChars="200"/>
              <w:jc w:val="both"/>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YP4</w:t>
            </w:r>
          </w:p>
          <w:p>
            <w:pPr>
              <w:keepNext w:val="0"/>
              <w:keepLines w:val="0"/>
              <w:pageBreakBefore w:val="0"/>
              <w:widowControl/>
              <w:suppressLineNumbers w:val="0"/>
              <w:kinsoku/>
              <w:wordWrap/>
              <w:overflowPunct/>
              <w:topLinePunct w:val="0"/>
              <w:bidi w:val="0"/>
              <w:ind w:right="0"/>
              <w:jc w:val="both"/>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P2022041901</w:t>
            </w:r>
          </w:p>
        </w:tc>
        <w:tc>
          <w:tcPr>
            <w:tcW w:w="119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YP5</w:t>
            </w:r>
          </w:p>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2022082301</w:t>
            </w:r>
          </w:p>
        </w:tc>
        <w:tc>
          <w:tcPr>
            <w:tcW w:w="1198"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YP6</w:t>
            </w:r>
          </w:p>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2022112801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性状</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sz w:val="18"/>
                <w:szCs w:val="18"/>
                <w:highlight w:val="none"/>
                <w:u w:val="none"/>
                <w:lang w:val="en-US" w:eastAsia="zh-CN"/>
              </w:rPr>
              <w:t>白色粉末，轻微特征性气味</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sz w:val="18"/>
                <w:szCs w:val="18"/>
                <w:highlight w:val="none"/>
                <w:u w:val="none"/>
                <w:lang w:val="en-US" w:eastAsia="zh-CN"/>
              </w:rPr>
              <w:t>类白色粉末，轻微特征性气味</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sz w:val="18"/>
                <w:szCs w:val="18"/>
                <w:highlight w:val="none"/>
                <w:u w:val="none"/>
                <w:lang w:val="en-US" w:eastAsia="zh-CN"/>
              </w:rPr>
              <w:t>白色粉末，轻微特征性气味</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白色粉末，轻微特征性气味</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白色粉末，轻微特征性气味</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白色粉末，轻微特征性气味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rPr>
            </w:pPr>
            <w:r>
              <w:rPr>
                <w:rFonts w:hint="eastAsia" w:ascii="仿宋" w:hAnsi="仿宋" w:eastAsia="仿宋" w:cs="仿宋"/>
                <w:i w:val="0"/>
                <w:iCs w:val="0"/>
                <w:color w:val="auto"/>
                <w:kern w:val="0"/>
                <w:sz w:val="18"/>
                <w:szCs w:val="18"/>
                <w:highlight w:val="none"/>
                <w:u w:val="none"/>
                <w:lang w:val="en-US" w:eastAsia="zh-CN" w:bidi="ar"/>
              </w:rPr>
              <w:t>鉴别</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kern w:val="0"/>
                <w:sz w:val="18"/>
                <w:szCs w:val="18"/>
                <w:highlight w:val="none"/>
                <w:u w:val="none"/>
                <w:lang w:val="en-US" w:eastAsia="zh-CN" w:bidi="ar"/>
              </w:rPr>
              <w:t>一致</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一致</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一致</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一致</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kern w:val="0"/>
                <w:sz w:val="18"/>
                <w:szCs w:val="18"/>
                <w:highlight w:val="none"/>
                <w:u w:val="none"/>
                <w:lang w:val="en-US" w:eastAsia="zh-CN" w:bidi="ar"/>
              </w:rPr>
              <w:t>一致</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kern w:val="0"/>
                <w:sz w:val="18"/>
                <w:szCs w:val="18"/>
                <w:highlight w:val="none"/>
                <w:u w:val="none"/>
                <w:lang w:val="en-US" w:eastAsia="zh-CN" w:bidi="ar"/>
              </w:rPr>
              <w:t>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溶解度（水）</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易溶于水</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易溶于水</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易溶于水</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bidi="zh-CN"/>
              </w:rPr>
            </w:pPr>
            <w:r>
              <w:rPr>
                <w:rFonts w:hint="eastAsia" w:ascii="仿宋" w:hAnsi="仿宋" w:eastAsia="仿宋" w:cs="仿宋"/>
                <w:i w:val="0"/>
                <w:iCs w:val="0"/>
                <w:color w:val="auto"/>
                <w:kern w:val="0"/>
                <w:sz w:val="18"/>
                <w:szCs w:val="18"/>
                <w:highlight w:val="none"/>
                <w:u w:val="none"/>
                <w:lang w:val="en-US" w:eastAsia="zh-CN" w:bidi="ar"/>
              </w:rPr>
              <w:t>易溶于水</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易溶于水</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易溶于水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比旋度</w:t>
            </w:r>
            <w:r>
              <w:rPr>
                <w:rFonts w:hint="eastAsia" w:ascii="仿宋" w:hAnsi="仿宋" w:eastAsia="仿宋" w:cs="仿宋"/>
                <w:color w:val="auto"/>
                <w:sz w:val="18"/>
                <w:szCs w:val="18"/>
                <w:highlight w:val="none"/>
                <w:lang w:val="en-US" w:eastAsia="zh-CN"/>
              </w:rPr>
              <w:t>（20 ℃）</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-137.3</w:t>
            </w:r>
            <w:r>
              <w:rPr>
                <w:rFonts w:hint="eastAsia" w:ascii="仿宋" w:hAnsi="仿宋" w:eastAsia="仿宋" w:cs="仿宋"/>
                <w:color w:val="auto"/>
                <w:sz w:val="18"/>
                <w:szCs w:val="18"/>
                <w:highlight w:val="none"/>
              </w:rPr>
              <w:t>°</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-126.5</w:t>
            </w:r>
            <w:r>
              <w:rPr>
                <w:rFonts w:hint="eastAsia" w:ascii="仿宋" w:hAnsi="仿宋" w:eastAsia="仿宋" w:cs="仿宋"/>
                <w:color w:val="auto"/>
                <w:sz w:val="18"/>
                <w:szCs w:val="18"/>
                <w:highlight w:val="none"/>
              </w:rPr>
              <w:t>°</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-128.1</w:t>
            </w:r>
            <w:r>
              <w:rPr>
                <w:rFonts w:hint="eastAsia" w:ascii="仿宋" w:hAnsi="仿宋" w:eastAsia="仿宋" w:cs="仿宋"/>
                <w:color w:val="auto"/>
                <w:sz w:val="18"/>
                <w:szCs w:val="18"/>
                <w:highlight w:val="none"/>
              </w:rPr>
              <w:t>°</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-139.7</w:t>
            </w:r>
            <w:r>
              <w:rPr>
                <w:rFonts w:hint="eastAsia" w:ascii="仿宋" w:hAnsi="仿宋" w:eastAsia="仿宋" w:cs="仿宋"/>
                <w:color w:val="auto"/>
                <w:sz w:val="18"/>
                <w:szCs w:val="18"/>
                <w:highlight w:val="none"/>
              </w:rPr>
              <w:t>°</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-138.7</w:t>
            </w:r>
            <w:r>
              <w:rPr>
                <w:rFonts w:hint="eastAsia" w:ascii="仿宋" w:hAnsi="仿宋" w:eastAsia="仿宋" w:cs="仿宋"/>
                <w:color w:val="auto"/>
                <w:sz w:val="18"/>
                <w:szCs w:val="18"/>
                <w:highlight w:val="none"/>
              </w:rPr>
              <w:t>°</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-134.3</w:t>
            </w:r>
            <w:r>
              <w:rPr>
                <w:rFonts w:hint="eastAsia" w:ascii="仿宋" w:hAnsi="仿宋" w:eastAsia="仿宋" w:cs="仿宋"/>
                <w:color w:val="auto"/>
                <w:sz w:val="18"/>
                <w:szCs w:val="18"/>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pH值</w:t>
            </w:r>
            <w:r>
              <w:rPr>
                <w:rFonts w:hint="eastAsia" w:ascii="仿宋" w:hAnsi="仿宋" w:eastAsia="仿宋" w:cs="仿宋"/>
                <w:b w:val="0"/>
                <w:bCs/>
                <w:color w:val="auto"/>
                <w:spacing w:val="0"/>
                <w:sz w:val="18"/>
                <w:szCs w:val="18"/>
                <w:highlight w:val="none"/>
                <w:lang w:val="en-US" w:eastAsia="zh-CN"/>
              </w:rPr>
              <w:t>(1 mg/ml,水溶液，25 ℃）</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rPr>
            </w:pPr>
            <w:r>
              <w:rPr>
                <w:rFonts w:hint="eastAsia" w:ascii="仿宋" w:hAnsi="仿宋" w:eastAsia="仿宋" w:cs="仿宋"/>
                <w:i w:val="0"/>
                <w:iCs w:val="0"/>
                <w:color w:val="auto"/>
                <w:kern w:val="0"/>
                <w:sz w:val="18"/>
                <w:szCs w:val="18"/>
                <w:highlight w:val="none"/>
                <w:u w:val="none"/>
                <w:lang w:val="en-US" w:eastAsia="zh-CN" w:bidi="ar"/>
              </w:rPr>
              <w:t>4.8</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rPr>
            </w:pPr>
            <w:r>
              <w:rPr>
                <w:rFonts w:hint="eastAsia" w:ascii="仿宋" w:hAnsi="仿宋" w:eastAsia="仿宋" w:cs="仿宋"/>
                <w:i w:val="0"/>
                <w:iCs w:val="0"/>
                <w:color w:val="auto"/>
                <w:kern w:val="0"/>
                <w:sz w:val="18"/>
                <w:szCs w:val="18"/>
                <w:highlight w:val="none"/>
                <w:u w:val="none"/>
                <w:lang w:val="en-US" w:eastAsia="zh-CN" w:bidi="ar"/>
              </w:rPr>
              <w:t>4.6</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4.1</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bidi="zh-CN"/>
              </w:rPr>
            </w:pPr>
            <w:r>
              <w:rPr>
                <w:rFonts w:hint="eastAsia" w:ascii="仿宋" w:hAnsi="仿宋" w:eastAsia="仿宋" w:cs="仿宋"/>
                <w:i w:val="0"/>
                <w:iCs w:val="0"/>
                <w:color w:val="auto"/>
                <w:sz w:val="18"/>
                <w:szCs w:val="18"/>
                <w:highlight w:val="none"/>
                <w:u w:val="none"/>
                <w:lang w:val="en-US" w:eastAsia="zh-CN" w:bidi="zh-CN"/>
              </w:rPr>
              <w:t>4.8</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4.9</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Style w:val="33"/>
                <w:rFonts w:hint="eastAsia" w:ascii="仿宋" w:hAnsi="仿宋" w:eastAsia="仿宋" w:cs="仿宋"/>
                <w:color w:val="auto"/>
                <w:sz w:val="18"/>
                <w:szCs w:val="18"/>
                <w:highlight w:val="none"/>
                <w:lang w:val="en-US" w:eastAsia="zh-CN" w:bidi="ar"/>
              </w:rPr>
              <w:t>水分</w:t>
            </w:r>
            <w:r>
              <w:rPr>
                <w:rFonts w:hint="eastAsia" w:ascii="仿宋" w:hAnsi="仿宋" w:eastAsia="仿宋" w:cs="仿宋"/>
                <w:color w:val="auto"/>
                <w:sz w:val="18"/>
                <w:szCs w:val="18"/>
                <w:highlight w:val="none"/>
              </w:rPr>
              <w:t>/%</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color w:val="auto"/>
                <w:sz w:val="18"/>
                <w:szCs w:val="18"/>
                <w:highlight w:val="none"/>
                <w:lang w:val="en-US" w:eastAsia="zh-CN"/>
              </w:rPr>
              <w:t>4.3</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1.8</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color w:val="auto"/>
                <w:sz w:val="18"/>
                <w:szCs w:val="18"/>
                <w:highlight w:val="none"/>
                <w:lang w:val="en-US" w:eastAsia="zh-CN"/>
              </w:rPr>
              <w:t>1.2</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bidi="zh-CN"/>
              </w:rPr>
            </w:pPr>
            <w:r>
              <w:rPr>
                <w:rFonts w:hint="eastAsia" w:ascii="仿宋" w:hAnsi="仿宋" w:eastAsia="仿宋" w:cs="仿宋"/>
                <w:i w:val="0"/>
                <w:iCs w:val="0"/>
                <w:color w:val="auto"/>
                <w:sz w:val="18"/>
                <w:szCs w:val="18"/>
                <w:highlight w:val="none"/>
                <w:u w:val="none"/>
                <w:lang w:val="en-US" w:eastAsia="zh-CN" w:bidi="zh-CN"/>
              </w:rPr>
              <w:t>4.5</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3.3</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含量</w:t>
            </w:r>
            <w:r>
              <w:rPr>
                <w:rFonts w:hint="eastAsia" w:ascii="仿宋" w:hAnsi="仿宋" w:eastAsia="仿宋" w:cs="仿宋"/>
                <w:color w:val="auto"/>
                <w:sz w:val="18"/>
                <w:szCs w:val="18"/>
                <w:highlight w:val="none"/>
              </w:rPr>
              <w:t>/%</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97.6</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98.4</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96.3</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bidi="zh-CN"/>
              </w:rPr>
            </w:pPr>
            <w:r>
              <w:rPr>
                <w:rFonts w:hint="eastAsia" w:ascii="仿宋" w:hAnsi="仿宋" w:eastAsia="仿宋" w:cs="仿宋"/>
                <w:i w:val="0"/>
                <w:iCs w:val="0"/>
                <w:color w:val="auto"/>
                <w:sz w:val="18"/>
                <w:szCs w:val="18"/>
                <w:highlight w:val="none"/>
                <w:u w:val="none"/>
                <w:lang w:val="en-US" w:eastAsia="zh-CN" w:bidi="zh-CN"/>
              </w:rPr>
              <w:t>98.0</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98.0</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97.9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jc w:val="center"/>
        </w:trPr>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醋酸含量</w:t>
            </w:r>
            <w:r>
              <w:rPr>
                <w:rFonts w:hint="eastAsia" w:ascii="仿宋" w:hAnsi="仿宋" w:eastAsia="仿宋" w:cs="仿宋"/>
                <w:color w:val="auto"/>
                <w:sz w:val="18"/>
                <w:szCs w:val="18"/>
                <w:highlight w:val="none"/>
              </w:rPr>
              <w:t>/%</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1.5</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3.0</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1.6</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bidi="zh-CN"/>
              </w:rPr>
            </w:pPr>
            <w:r>
              <w:rPr>
                <w:rFonts w:hint="eastAsia" w:ascii="仿宋" w:hAnsi="仿宋" w:eastAsia="仿宋" w:cs="仿宋"/>
                <w:i w:val="0"/>
                <w:iCs w:val="0"/>
                <w:color w:val="auto"/>
                <w:sz w:val="18"/>
                <w:szCs w:val="18"/>
                <w:highlight w:val="none"/>
                <w:u w:val="none"/>
                <w:lang w:val="en-US" w:eastAsia="zh-CN"/>
              </w:rPr>
              <w:t>2.5</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sz w:val="18"/>
                <w:szCs w:val="18"/>
                <w:highlight w:val="none"/>
                <w:u w:val="none"/>
                <w:lang w:val="en-US" w:eastAsia="zh-CN"/>
              </w:rPr>
              <w:t>1.6</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sz w:val="18"/>
                <w:szCs w:val="18"/>
                <w:highlight w:val="none"/>
                <w:u w:val="none"/>
                <w:lang w:val="en-US" w:eastAsia="zh-CN"/>
              </w:rPr>
              <w:t>1.7</w:t>
            </w:r>
          </w:p>
        </w:tc>
      </w:tr>
    </w:tbl>
    <w:p>
      <w:pPr>
        <w:pStyle w:val="31"/>
        <w:keepNext w:val="0"/>
        <w:keepLines w:val="0"/>
        <w:pageBreakBefore w:val="0"/>
        <w:widowControl/>
        <w:tabs>
          <w:tab w:val="left" w:pos="839"/>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另外，</w:t>
      </w:r>
      <w:r>
        <w:rPr>
          <w:rFonts w:hint="eastAsia" w:ascii="仿宋" w:hAnsi="仿宋" w:eastAsia="仿宋" w:cs="仿宋"/>
          <w:color w:val="auto"/>
          <w:sz w:val="21"/>
          <w:szCs w:val="21"/>
          <w:highlight w:val="none"/>
        </w:rPr>
        <w:t>由</w:t>
      </w:r>
      <w:r>
        <w:rPr>
          <w:rFonts w:hint="eastAsia" w:ascii="仿宋" w:hAnsi="仿宋" w:eastAsia="仿宋" w:cs="仿宋"/>
          <w:color w:val="auto"/>
          <w:sz w:val="21"/>
          <w:szCs w:val="21"/>
          <w:highlight w:val="none"/>
          <w:lang w:val="en-US" w:eastAsia="zh-CN"/>
        </w:rPr>
        <w:t>山东济肽生物科技有限公司</w:t>
      </w:r>
      <w:r>
        <w:rPr>
          <w:rFonts w:hint="eastAsia" w:ascii="仿宋" w:hAnsi="仿宋" w:eastAsia="仿宋" w:cs="仿宋"/>
          <w:color w:val="auto"/>
          <w:sz w:val="21"/>
          <w:szCs w:val="21"/>
          <w:highlight w:val="none"/>
        </w:rPr>
        <w:t>（实验室1）、</w:t>
      </w:r>
      <w:r>
        <w:rPr>
          <w:rFonts w:hint="eastAsia" w:ascii="仿宋" w:hAnsi="仿宋" w:eastAsia="仿宋" w:cs="仿宋"/>
          <w:color w:val="auto"/>
          <w:sz w:val="21"/>
          <w:szCs w:val="21"/>
          <w:highlight w:val="none"/>
          <w:lang w:val="en-US" w:eastAsia="zh-CN"/>
        </w:rPr>
        <w:t>山东省食品药品检验研究院（实验室2）和北京贝丽莱斯生物科技有限公司（实验室3）3</w:t>
      </w:r>
      <w:r>
        <w:rPr>
          <w:rFonts w:hint="eastAsia" w:ascii="仿宋" w:hAnsi="仿宋" w:eastAsia="仿宋" w:cs="仿宋"/>
          <w:color w:val="auto"/>
          <w:sz w:val="21"/>
          <w:szCs w:val="21"/>
          <w:highlight w:val="none"/>
        </w:rPr>
        <w:t>个实验室参加了验证试验工作，采用同一个批次产品进行了对比试验，对本方法的重现性进行了验证，验证结果的统计情况</w:t>
      </w:r>
      <w:r>
        <w:rPr>
          <w:rFonts w:hint="eastAsia" w:ascii="仿宋" w:hAnsi="仿宋" w:eastAsia="仿宋" w:cs="仿宋"/>
          <w:color w:val="auto"/>
          <w:sz w:val="21"/>
          <w:szCs w:val="21"/>
          <w:highlight w:val="none"/>
          <w:lang w:val="en-US" w:eastAsia="zh-CN"/>
        </w:rPr>
        <w:t>见</w:t>
      </w:r>
      <w:r>
        <w:rPr>
          <w:rFonts w:hint="eastAsia" w:ascii="仿宋" w:hAnsi="仿宋" w:eastAsia="仿宋" w:cs="仿宋"/>
          <w:color w:val="auto"/>
          <w:sz w:val="21"/>
          <w:szCs w:val="21"/>
          <w:highlight w:val="none"/>
        </w:rPr>
        <w:t>表</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 xml:space="preserve"> </w:t>
      </w:r>
    </w:p>
    <w:p>
      <w:pPr>
        <w:pStyle w:val="31"/>
        <w:tabs>
          <w:tab w:val="left" w:pos="839"/>
        </w:tabs>
        <w:spacing w:line="360" w:lineRule="auto"/>
        <w:ind w:left="480" w:firstLine="0" w:firstLineChars="0"/>
        <w:jc w:val="center"/>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表</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val="zh-CN"/>
        </w:rPr>
        <w:t xml:space="preserve"> </w:t>
      </w:r>
      <w:r>
        <w:rPr>
          <w:rFonts w:hint="eastAsia" w:ascii="仿宋" w:hAnsi="仿宋" w:eastAsia="仿宋" w:cs="仿宋"/>
          <w:color w:val="auto"/>
          <w:sz w:val="21"/>
          <w:szCs w:val="21"/>
          <w:highlight w:val="none"/>
          <w:lang w:val="en-US" w:eastAsia="zh-CN"/>
        </w:rPr>
        <w:t>实验室间的</w:t>
      </w:r>
      <w:r>
        <w:rPr>
          <w:rFonts w:hint="eastAsia" w:ascii="仿宋" w:hAnsi="仿宋" w:eastAsia="仿宋" w:cs="仿宋"/>
          <w:color w:val="auto"/>
          <w:sz w:val="21"/>
          <w:szCs w:val="21"/>
          <w:highlight w:val="none"/>
        </w:rPr>
        <w:t>重现性验证</w:t>
      </w:r>
      <w:r>
        <w:rPr>
          <w:rFonts w:hint="eastAsia" w:ascii="仿宋" w:hAnsi="仿宋" w:eastAsia="仿宋" w:cs="仿宋"/>
          <w:color w:val="auto"/>
          <w:sz w:val="21"/>
          <w:szCs w:val="21"/>
          <w:highlight w:val="none"/>
          <w:lang w:val="zh-CN"/>
        </w:rPr>
        <w:t>结果汇总</w:t>
      </w:r>
    </w:p>
    <w:tbl>
      <w:tblPr>
        <w:tblStyle w:val="12"/>
        <w:tblW w:w="86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57"/>
        <w:gridCol w:w="1836"/>
        <w:gridCol w:w="1836"/>
        <w:gridCol w:w="18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jc w:val="center"/>
        </w:trPr>
        <w:tc>
          <w:tcPr>
            <w:tcW w:w="3157" w:type="dxa"/>
            <w:vMerge w:val="restart"/>
            <w:tcBorders>
              <w:top w:val="single" w:color="000000" w:sz="4" w:space="0"/>
              <w:left w:val="single" w:color="000000" w:sz="4" w:space="0"/>
              <w:right w:val="single" w:color="000000" w:sz="4" w:space="0"/>
              <w:tl2br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line="480" w:lineRule="auto"/>
              <w:ind w:left="0" w:leftChars="0" w:right="0" w:firstLine="900" w:firstLineChars="500"/>
              <w:jc w:val="left"/>
              <w:textAlignment w:val="center"/>
              <w:rPr>
                <w:rStyle w:val="32"/>
                <w:rFonts w:hint="eastAsia" w:ascii="仿宋" w:hAnsi="仿宋" w:eastAsia="仿宋" w:cs="仿宋"/>
                <w:color w:val="auto"/>
                <w:sz w:val="18"/>
                <w:szCs w:val="18"/>
                <w:highlight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实验室</w:t>
            </w:r>
            <w:r>
              <w:rPr>
                <w:rStyle w:val="32"/>
                <w:rFonts w:hint="eastAsia" w:ascii="仿宋" w:hAnsi="仿宋" w:eastAsia="仿宋" w:cs="仿宋"/>
                <w:color w:val="auto"/>
                <w:sz w:val="18"/>
                <w:szCs w:val="18"/>
                <w:highlight w:val="none"/>
                <w:lang w:val="en-US" w:eastAsia="zh-CN" w:bidi="ar"/>
              </w:rPr>
              <w:t xml:space="preserve">  </w:t>
            </w:r>
          </w:p>
          <w:p>
            <w:pPr>
              <w:keepNext w:val="0"/>
              <w:keepLines w:val="0"/>
              <w:pageBreakBefore w:val="0"/>
              <w:widowControl/>
              <w:suppressLineNumbers w:val="0"/>
              <w:kinsoku/>
              <w:wordWrap/>
              <w:overflowPunct/>
              <w:topLinePunct w:val="0"/>
              <w:bidi w:val="0"/>
              <w:spacing w:line="480" w:lineRule="auto"/>
              <w:ind w:left="0" w:leftChars="0" w:right="0" w:firstLine="540" w:firstLineChars="300"/>
              <w:jc w:val="left"/>
              <w:textAlignment w:val="center"/>
              <w:rPr>
                <w:rFonts w:hint="eastAsia" w:ascii="仿宋" w:hAnsi="仿宋" w:eastAsia="仿宋" w:cs="仿宋"/>
                <w:i w:val="0"/>
                <w:iCs w:val="0"/>
                <w:color w:val="auto"/>
                <w:sz w:val="18"/>
                <w:szCs w:val="18"/>
                <w:highlight w:val="none"/>
                <w:u w:val="none"/>
                <w:lang w:val="en-US"/>
              </w:rPr>
            </w:pPr>
            <w:r>
              <w:rPr>
                <w:rFonts w:hint="eastAsia" w:ascii="仿宋" w:hAnsi="仿宋" w:eastAsia="仿宋" w:cs="仿宋"/>
                <w:i w:val="0"/>
                <w:iCs w:val="0"/>
                <w:color w:val="auto"/>
                <w:kern w:val="0"/>
                <w:sz w:val="18"/>
                <w:szCs w:val="18"/>
                <w:highlight w:val="none"/>
                <w:u w:val="none"/>
                <w:lang w:val="en-US" w:eastAsia="zh-CN" w:bidi="ar"/>
              </w:rPr>
              <w:t>项目指标</w:t>
            </w:r>
          </w:p>
        </w:tc>
        <w:tc>
          <w:tcPr>
            <w:tcW w:w="18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实验室1</w:t>
            </w:r>
          </w:p>
        </w:tc>
        <w:tc>
          <w:tcPr>
            <w:tcW w:w="18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实验室2</w:t>
            </w:r>
          </w:p>
        </w:tc>
        <w:tc>
          <w:tcPr>
            <w:tcW w:w="18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实验室3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jc w:val="center"/>
        </w:trPr>
        <w:tc>
          <w:tcPr>
            <w:tcW w:w="3157" w:type="dxa"/>
            <w:vMerge w:val="continue"/>
            <w:tcBorders>
              <w:left w:val="single" w:color="000000" w:sz="4" w:space="0"/>
              <w:bottom w:val="single" w:color="000000" w:sz="4" w:space="0"/>
              <w:right w:val="single" w:color="000000" w:sz="4" w:space="0"/>
              <w:tl2br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left"/>
              <w:textAlignment w:val="center"/>
              <w:rPr>
                <w:rFonts w:hint="eastAsia" w:ascii="仿宋" w:hAnsi="仿宋" w:eastAsia="仿宋" w:cs="仿宋"/>
                <w:color w:val="auto"/>
                <w:sz w:val="18"/>
                <w:szCs w:val="18"/>
                <w:highlight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YP1 20220622</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YP1 20220622</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YP1 20220622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性状</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sz w:val="18"/>
                <w:szCs w:val="18"/>
                <w:highlight w:val="none"/>
                <w:u w:val="none"/>
                <w:lang w:val="en-US" w:eastAsia="zh-CN"/>
              </w:rPr>
              <w:t>白色粉末，轻微特征性气味</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sz w:val="18"/>
                <w:szCs w:val="18"/>
                <w:highlight w:val="none"/>
                <w:u w:val="none"/>
                <w:lang w:val="en-US" w:eastAsia="zh-CN"/>
              </w:rPr>
              <w:t>白色粉末，轻微特征性气味</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sz w:val="18"/>
                <w:szCs w:val="18"/>
                <w:highlight w:val="none"/>
                <w:u w:val="none"/>
                <w:lang w:val="en-US" w:eastAsia="zh-CN"/>
              </w:rPr>
              <w:t>白色粉末，轻微特征性气味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鉴别</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kern w:val="0"/>
                <w:sz w:val="18"/>
                <w:szCs w:val="18"/>
                <w:highlight w:val="none"/>
                <w:u w:val="none"/>
                <w:lang w:val="en-US" w:eastAsia="zh-CN" w:bidi="ar"/>
              </w:rPr>
              <w:t>一致</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一致</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溶解度（水）</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易溶于水</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易溶于水</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易溶于水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比旋度</w:t>
            </w:r>
            <w:r>
              <w:rPr>
                <w:rFonts w:hint="eastAsia" w:ascii="仿宋" w:hAnsi="仿宋" w:eastAsia="仿宋" w:cs="仿宋"/>
                <w:color w:val="auto"/>
                <w:sz w:val="18"/>
                <w:szCs w:val="18"/>
                <w:highlight w:val="none"/>
                <w:lang w:val="en-US" w:eastAsia="zh-CN"/>
              </w:rPr>
              <w:t>（20 ℃）</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-137.3</w:t>
            </w:r>
            <w:r>
              <w:rPr>
                <w:rFonts w:hint="eastAsia" w:ascii="仿宋" w:hAnsi="仿宋" w:eastAsia="仿宋" w:cs="仿宋"/>
                <w:color w:val="auto"/>
                <w:sz w:val="18"/>
                <w:szCs w:val="18"/>
                <w:highlight w:val="none"/>
              </w:rPr>
              <w:t>°</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-133.2</w:t>
            </w:r>
            <w:r>
              <w:rPr>
                <w:rFonts w:hint="eastAsia" w:ascii="仿宋" w:hAnsi="仿宋" w:eastAsia="仿宋" w:cs="仿宋"/>
                <w:color w:val="auto"/>
                <w:sz w:val="18"/>
                <w:szCs w:val="18"/>
                <w:highlight w:val="none"/>
              </w:rPr>
              <w:t>°</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-132.8</w:t>
            </w:r>
            <w:r>
              <w:rPr>
                <w:rFonts w:hint="eastAsia" w:ascii="仿宋" w:hAnsi="仿宋" w:eastAsia="仿宋" w:cs="仿宋"/>
                <w:color w:val="auto"/>
                <w:sz w:val="18"/>
                <w:szCs w:val="18"/>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pH值</w:t>
            </w:r>
            <w:r>
              <w:rPr>
                <w:rFonts w:hint="eastAsia" w:ascii="仿宋" w:hAnsi="仿宋" w:eastAsia="仿宋" w:cs="仿宋"/>
                <w:b w:val="0"/>
                <w:bCs/>
                <w:color w:val="auto"/>
                <w:spacing w:val="0"/>
                <w:sz w:val="18"/>
                <w:szCs w:val="18"/>
                <w:highlight w:val="none"/>
                <w:lang w:val="en-US" w:eastAsia="zh-CN"/>
              </w:rPr>
              <w:t>(1 mg/ml,水溶液，25 ℃）</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rPr>
            </w:pPr>
            <w:r>
              <w:rPr>
                <w:rFonts w:hint="eastAsia" w:ascii="仿宋" w:hAnsi="仿宋" w:eastAsia="仿宋" w:cs="仿宋"/>
                <w:i w:val="0"/>
                <w:iCs w:val="0"/>
                <w:color w:val="auto"/>
                <w:kern w:val="0"/>
                <w:sz w:val="18"/>
                <w:szCs w:val="18"/>
                <w:highlight w:val="none"/>
                <w:u w:val="none"/>
                <w:lang w:val="en-US" w:eastAsia="zh-CN" w:bidi="ar"/>
              </w:rPr>
              <w:t>4.8</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rPr>
            </w:pPr>
            <w:r>
              <w:rPr>
                <w:rFonts w:hint="eastAsia" w:ascii="仿宋" w:hAnsi="仿宋" w:eastAsia="仿宋" w:cs="仿宋"/>
                <w:i w:val="0"/>
                <w:iCs w:val="0"/>
                <w:color w:val="auto"/>
                <w:kern w:val="0"/>
                <w:sz w:val="18"/>
                <w:szCs w:val="18"/>
                <w:highlight w:val="none"/>
                <w:u w:val="none"/>
                <w:lang w:val="en-US" w:eastAsia="zh-CN" w:bidi="ar"/>
              </w:rPr>
              <w:t>4.5</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Style w:val="33"/>
                <w:rFonts w:hint="eastAsia" w:ascii="仿宋" w:hAnsi="仿宋" w:eastAsia="仿宋" w:cs="仿宋"/>
                <w:color w:val="auto"/>
                <w:sz w:val="18"/>
                <w:szCs w:val="18"/>
                <w:highlight w:val="none"/>
                <w:lang w:val="en-US" w:eastAsia="zh-CN" w:bidi="ar"/>
              </w:rPr>
              <w:t>水分</w:t>
            </w:r>
            <w:r>
              <w:rPr>
                <w:rFonts w:hint="eastAsia" w:ascii="仿宋" w:hAnsi="仿宋" w:eastAsia="仿宋" w:cs="仿宋"/>
                <w:color w:val="auto"/>
                <w:sz w:val="18"/>
                <w:szCs w:val="18"/>
                <w:highlight w:val="none"/>
              </w:rPr>
              <w:t>/%</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color w:val="auto"/>
                <w:sz w:val="18"/>
                <w:szCs w:val="18"/>
                <w:highlight w:val="none"/>
                <w:lang w:val="en-US" w:eastAsia="zh-CN"/>
              </w:rPr>
              <w:t>4.3%</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color w:val="auto"/>
                <w:sz w:val="18"/>
                <w:szCs w:val="18"/>
                <w:highlight w:val="none"/>
                <w:lang w:val="en-US" w:eastAsia="zh-CN"/>
              </w:rPr>
              <w:t>2.6%</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含量</w:t>
            </w:r>
            <w:r>
              <w:rPr>
                <w:rFonts w:hint="eastAsia" w:ascii="仿宋" w:hAnsi="仿宋" w:eastAsia="仿宋" w:cs="仿宋"/>
                <w:color w:val="auto"/>
                <w:sz w:val="18"/>
                <w:szCs w:val="18"/>
                <w:highlight w:val="none"/>
              </w:rPr>
              <w:t>/%</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97.6%</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98.5%</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99.3%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jc w:val="center"/>
        </w:trPr>
        <w:tc>
          <w:tcPr>
            <w:tcW w:w="3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醋酸含量</w:t>
            </w:r>
            <w:r>
              <w:rPr>
                <w:rFonts w:hint="eastAsia" w:ascii="仿宋" w:hAnsi="仿宋" w:eastAsia="仿宋" w:cs="仿宋"/>
                <w:color w:val="auto"/>
                <w:sz w:val="18"/>
                <w:szCs w:val="18"/>
                <w:highlight w:val="none"/>
              </w:rPr>
              <w:t>/%</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1.5%</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1.5%</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1.6%</w:t>
            </w:r>
          </w:p>
        </w:tc>
      </w:tr>
    </w:tbl>
    <w:p>
      <w:pPr>
        <w:pStyle w:val="2"/>
        <w:numPr>
          <w:ilvl w:val="-1"/>
          <w:numId w:val="0"/>
        </w:numPr>
        <w:spacing w:line="360" w:lineRule="auto"/>
        <w:ind w:firstLine="420" w:firstLineChars="200"/>
        <w:jc w:val="both"/>
        <w:rPr>
          <w:rFonts w:hint="eastAsia"/>
        </w:rPr>
      </w:pPr>
      <w:r>
        <w:rPr>
          <w:rFonts w:hint="eastAsia" w:ascii="仿宋" w:hAnsi="仿宋" w:eastAsia="仿宋" w:cs="仿宋"/>
          <w:color w:val="auto"/>
          <w:sz w:val="21"/>
          <w:szCs w:val="21"/>
          <w:highlight w:val="none"/>
        </w:rPr>
        <w:t>从起草工作组的检测数据和三家验证单位的验证数据来看，本标准</w:t>
      </w:r>
      <w:r>
        <w:rPr>
          <w:rFonts w:hint="eastAsia" w:ascii="仿宋" w:hAnsi="仿宋" w:eastAsia="仿宋" w:cs="仿宋"/>
          <w:color w:val="auto"/>
          <w:sz w:val="21"/>
          <w:szCs w:val="21"/>
          <w:highlight w:val="none"/>
          <w:lang w:val="en-US" w:eastAsia="zh-CN"/>
        </w:rPr>
        <w:t>草案</w:t>
      </w:r>
      <w:r>
        <w:rPr>
          <w:rFonts w:hint="eastAsia" w:ascii="仿宋" w:hAnsi="仿宋" w:eastAsia="仿宋" w:cs="仿宋"/>
          <w:color w:val="auto"/>
          <w:sz w:val="21"/>
          <w:szCs w:val="21"/>
          <w:highlight w:val="none"/>
        </w:rPr>
        <w:t>所规定的</w:t>
      </w:r>
      <w:r>
        <w:rPr>
          <w:rFonts w:hint="eastAsia" w:ascii="仿宋" w:hAnsi="仿宋" w:eastAsia="仿宋" w:cs="仿宋"/>
          <w:color w:val="auto"/>
          <w:sz w:val="21"/>
          <w:szCs w:val="21"/>
          <w:highlight w:val="none"/>
          <w:lang w:val="en-US" w:eastAsia="zh-CN"/>
        </w:rPr>
        <w:t>感官指标和理化指标</w:t>
      </w:r>
      <w:r>
        <w:rPr>
          <w:rFonts w:hint="eastAsia" w:ascii="仿宋" w:hAnsi="仿宋" w:eastAsia="仿宋" w:cs="仿宋"/>
          <w:color w:val="auto"/>
          <w:sz w:val="21"/>
          <w:szCs w:val="21"/>
          <w:highlight w:val="none"/>
        </w:rPr>
        <w:t>是合适的。</w:t>
      </w:r>
    </w:p>
    <w:p>
      <w:pPr>
        <w:spacing w:beforeLines="0" w:afterLines="0" w:line="360" w:lineRule="auto"/>
        <w:ind w:firstLine="0" w:firstLineChars="0"/>
        <w:rPr>
          <w:rFonts w:ascii="Times New Roman" w:hAnsi="Times New Roman" w:eastAsia="宋体" w:cs="Times New Roman"/>
          <w:color w:val="auto"/>
          <w:sz w:val="24"/>
          <w:szCs w:val="24"/>
          <w:highlight w:val="none"/>
        </w:rPr>
      </w:pPr>
      <w:r>
        <w:rPr>
          <w:rFonts w:ascii="Times New Roman" w:hAnsi="Times New Roman" w:eastAsia="宋体" w:cs="Times New Roman"/>
          <w:b/>
          <w:bCs/>
          <w:color w:val="auto"/>
          <w:sz w:val="24"/>
          <w:szCs w:val="24"/>
          <w:highlight w:val="none"/>
        </w:rPr>
        <w:t>六、征求意见的采纳情况（附《征求意见汇总处理表》、重大意见分歧的处理结果和依据）</w:t>
      </w:r>
    </w:p>
    <w:p>
      <w:pPr>
        <w:adjustRightInd w:val="0"/>
        <w:spacing w:beforeLines="0" w:afterLines="0" w:line="360" w:lineRule="auto"/>
        <w:ind w:left="0" w:firstLine="420" w:firstLineChars="200"/>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无</w:t>
      </w:r>
    </w:p>
    <w:p>
      <w:pPr>
        <w:pStyle w:val="27"/>
        <w:numPr>
          <w:ilvl w:val="0"/>
          <w:numId w:val="0"/>
        </w:numPr>
        <w:adjustRightInd w:val="0"/>
        <w:spacing w:before="0" w:beforeLines="0" w:afterLines="0" w:line="360" w:lineRule="auto"/>
        <w:ind w:leftChars="0" w:firstLine="0"/>
        <w:textAlignment w:val="baseline"/>
        <w:rPr>
          <w:rFonts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七、</w:t>
      </w:r>
      <w:r>
        <w:rPr>
          <w:rFonts w:ascii="Times New Roman" w:hAnsi="Times New Roman" w:eastAsia="宋体" w:cs="Times New Roman"/>
          <w:b/>
          <w:bCs/>
          <w:color w:val="auto"/>
          <w:sz w:val="24"/>
          <w:szCs w:val="24"/>
          <w:highlight w:val="none"/>
        </w:rPr>
        <w:t>标准实施日期和实施建议</w:t>
      </w:r>
    </w:p>
    <w:p>
      <w:pPr>
        <w:adjustRightInd w:val="0"/>
        <w:spacing w:beforeLines="0" w:afterLines="0" w:line="360" w:lineRule="auto"/>
        <w:ind w:left="0" w:firstLine="420" w:firstLineChars="200"/>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无</w:t>
      </w:r>
    </w:p>
    <w:p>
      <w:pPr>
        <w:adjustRightInd w:val="0"/>
        <w:spacing w:before="0" w:beforeLines="0" w:afterLines="0" w:line="360" w:lineRule="auto"/>
        <w:ind w:firstLine="0" w:firstLineChars="0"/>
        <w:textAlignment w:val="baseline"/>
        <w:rPr>
          <w:rFonts w:ascii="Times New Roman" w:hAnsi="Times New Roman" w:eastAsia="宋体" w:cs="Times New Roman"/>
          <w:b/>
          <w:bCs/>
          <w:color w:val="auto"/>
          <w:sz w:val="24"/>
          <w:szCs w:val="24"/>
          <w:highlight w:val="none"/>
        </w:rPr>
      </w:pPr>
      <w:r>
        <w:rPr>
          <w:rFonts w:ascii="Times New Roman" w:hAnsi="Times New Roman" w:eastAsia="宋体" w:cs="Times New Roman"/>
          <w:b/>
          <w:bCs/>
          <w:color w:val="auto"/>
          <w:sz w:val="24"/>
          <w:szCs w:val="24"/>
          <w:highlight w:val="none"/>
        </w:rPr>
        <w:t>八、其他需要说明的事项（含涉及专利情况说明）</w:t>
      </w:r>
    </w:p>
    <w:p>
      <w:pPr>
        <w:adjustRightInd w:val="0"/>
        <w:spacing w:beforeLines="0" w:afterLines="0" w:line="360" w:lineRule="auto"/>
        <w:ind w:left="0" w:firstLine="420" w:firstLineChars="200"/>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专利说明：无</w:t>
      </w:r>
    </w:p>
    <w:p>
      <w:pPr>
        <w:spacing w:beforeLines="0" w:afterLines="0" w:line="360" w:lineRule="auto"/>
        <w:ind w:firstLine="420" w:firstLineChars="200"/>
        <w:rPr>
          <w:color w:val="auto"/>
          <w:highlight w:val="none"/>
        </w:rPr>
      </w:pPr>
    </w:p>
    <w:p>
      <w:pPr>
        <w:spacing w:beforeLines="0" w:afterLines="0" w:line="360" w:lineRule="auto"/>
        <w:ind w:firstLine="420" w:firstLineChars="200"/>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30F546"/>
    <w:multiLevelType w:val="singleLevel"/>
    <w:tmpl w:val="CF30F546"/>
    <w:lvl w:ilvl="0" w:tentative="0">
      <w:start w:val="2"/>
      <w:numFmt w:val="decimal"/>
      <w:lvlText w:val="%1."/>
      <w:lvlJc w:val="left"/>
      <w:pPr>
        <w:tabs>
          <w:tab w:val="left" w:pos="312"/>
        </w:tabs>
      </w:pPr>
    </w:lvl>
  </w:abstractNum>
  <w:abstractNum w:abstractNumId="1">
    <w:nsid w:val="FC257497"/>
    <w:multiLevelType w:val="singleLevel"/>
    <w:tmpl w:val="FC257497"/>
    <w:lvl w:ilvl="0" w:tentative="0">
      <w:start w:val="5"/>
      <w:numFmt w:val="chineseCounting"/>
      <w:suff w:val="nothing"/>
      <w:lvlText w:val="%1、"/>
      <w:lvlJc w:val="left"/>
      <w:rPr>
        <w:rFonts w:hint="eastAsia"/>
      </w:rPr>
    </w:lvl>
  </w:abstractNum>
  <w:abstractNum w:abstractNumId="2">
    <w:nsid w:val="25ED339F"/>
    <w:multiLevelType w:val="multilevel"/>
    <w:tmpl w:val="25ED339F"/>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xOTE0NzFmZmNjYTVjODY0NTJmNTMzMDJiMjMwOTkifQ=="/>
  </w:docVars>
  <w:rsids>
    <w:rsidRoot w:val="004268FF"/>
    <w:rsid w:val="000029DF"/>
    <w:rsid w:val="000068C6"/>
    <w:rsid w:val="000101A2"/>
    <w:rsid w:val="00010370"/>
    <w:rsid w:val="00014800"/>
    <w:rsid w:val="0002345F"/>
    <w:rsid w:val="00031B45"/>
    <w:rsid w:val="000336B8"/>
    <w:rsid w:val="0003629E"/>
    <w:rsid w:val="00041715"/>
    <w:rsid w:val="0004644C"/>
    <w:rsid w:val="00050E5D"/>
    <w:rsid w:val="0005232E"/>
    <w:rsid w:val="00052A51"/>
    <w:rsid w:val="00052FD5"/>
    <w:rsid w:val="0005774C"/>
    <w:rsid w:val="00060E11"/>
    <w:rsid w:val="00063F58"/>
    <w:rsid w:val="00063FF9"/>
    <w:rsid w:val="000710FA"/>
    <w:rsid w:val="00071A05"/>
    <w:rsid w:val="00071E5A"/>
    <w:rsid w:val="00072311"/>
    <w:rsid w:val="000745AD"/>
    <w:rsid w:val="00076F5D"/>
    <w:rsid w:val="000811A3"/>
    <w:rsid w:val="000839F5"/>
    <w:rsid w:val="00086098"/>
    <w:rsid w:val="00086245"/>
    <w:rsid w:val="000862C3"/>
    <w:rsid w:val="00092811"/>
    <w:rsid w:val="00092B1A"/>
    <w:rsid w:val="00096DBB"/>
    <w:rsid w:val="000A1FCB"/>
    <w:rsid w:val="000B1219"/>
    <w:rsid w:val="000B1DDE"/>
    <w:rsid w:val="000B364D"/>
    <w:rsid w:val="000B40DD"/>
    <w:rsid w:val="000B5941"/>
    <w:rsid w:val="000B766C"/>
    <w:rsid w:val="000B7943"/>
    <w:rsid w:val="000C15A6"/>
    <w:rsid w:val="000C2905"/>
    <w:rsid w:val="000C5252"/>
    <w:rsid w:val="000C62A6"/>
    <w:rsid w:val="000D512B"/>
    <w:rsid w:val="000E3B6C"/>
    <w:rsid w:val="000E3F87"/>
    <w:rsid w:val="000E525C"/>
    <w:rsid w:val="000E5B06"/>
    <w:rsid w:val="000F04CB"/>
    <w:rsid w:val="000F0C4A"/>
    <w:rsid w:val="000F1180"/>
    <w:rsid w:val="000F2439"/>
    <w:rsid w:val="000F4732"/>
    <w:rsid w:val="000F5797"/>
    <w:rsid w:val="000F7A8E"/>
    <w:rsid w:val="0010076A"/>
    <w:rsid w:val="001012F3"/>
    <w:rsid w:val="00106B1D"/>
    <w:rsid w:val="00106F8A"/>
    <w:rsid w:val="00110A85"/>
    <w:rsid w:val="001155D7"/>
    <w:rsid w:val="00120561"/>
    <w:rsid w:val="001217D4"/>
    <w:rsid w:val="00122799"/>
    <w:rsid w:val="001228B6"/>
    <w:rsid w:val="001254BD"/>
    <w:rsid w:val="001255CD"/>
    <w:rsid w:val="00130F14"/>
    <w:rsid w:val="0013368C"/>
    <w:rsid w:val="00133D13"/>
    <w:rsid w:val="00134750"/>
    <w:rsid w:val="001376DC"/>
    <w:rsid w:val="00137D59"/>
    <w:rsid w:val="0014072B"/>
    <w:rsid w:val="00140A56"/>
    <w:rsid w:val="00145751"/>
    <w:rsid w:val="0014792D"/>
    <w:rsid w:val="001554CF"/>
    <w:rsid w:val="00156A96"/>
    <w:rsid w:val="00157361"/>
    <w:rsid w:val="001609AB"/>
    <w:rsid w:val="00166754"/>
    <w:rsid w:val="001672B5"/>
    <w:rsid w:val="00167D02"/>
    <w:rsid w:val="00173829"/>
    <w:rsid w:val="001774E1"/>
    <w:rsid w:val="001803AE"/>
    <w:rsid w:val="00183A92"/>
    <w:rsid w:val="00185848"/>
    <w:rsid w:val="001866E9"/>
    <w:rsid w:val="0018723A"/>
    <w:rsid w:val="001877D9"/>
    <w:rsid w:val="00187FB3"/>
    <w:rsid w:val="001904FD"/>
    <w:rsid w:val="00190CB5"/>
    <w:rsid w:val="00190E9E"/>
    <w:rsid w:val="00191193"/>
    <w:rsid w:val="001922FB"/>
    <w:rsid w:val="00192732"/>
    <w:rsid w:val="001939AB"/>
    <w:rsid w:val="001A0E14"/>
    <w:rsid w:val="001A295A"/>
    <w:rsid w:val="001A4A80"/>
    <w:rsid w:val="001A52B3"/>
    <w:rsid w:val="001A624A"/>
    <w:rsid w:val="001A7EEA"/>
    <w:rsid w:val="001B2550"/>
    <w:rsid w:val="001B3188"/>
    <w:rsid w:val="001B6542"/>
    <w:rsid w:val="001C01AB"/>
    <w:rsid w:val="001C5EB4"/>
    <w:rsid w:val="001C670D"/>
    <w:rsid w:val="001C75FD"/>
    <w:rsid w:val="001D1968"/>
    <w:rsid w:val="001D4624"/>
    <w:rsid w:val="001D6FD8"/>
    <w:rsid w:val="001E1CD9"/>
    <w:rsid w:val="001E2BFD"/>
    <w:rsid w:val="001E2CB9"/>
    <w:rsid w:val="001E4C50"/>
    <w:rsid w:val="001E61E9"/>
    <w:rsid w:val="001E6E1F"/>
    <w:rsid w:val="001E797F"/>
    <w:rsid w:val="001E7DE2"/>
    <w:rsid w:val="001F385E"/>
    <w:rsid w:val="001F5E04"/>
    <w:rsid w:val="001F6FA9"/>
    <w:rsid w:val="00200CD6"/>
    <w:rsid w:val="002041E5"/>
    <w:rsid w:val="00211DFF"/>
    <w:rsid w:val="00213BD6"/>
    <w:rsid w:val="0021626D"/>
    <w:rsid w:val="00221166"/>
    <w:rsid w:val="002220BA"/>
    <w:rsid w:val="00223F58"/>
    <w:rsid w:val="002241FC"/>
    <w:rsid w:val="0022675D"/>
    <w:rsid w:val="00227C3B"/>
    <w:rsid w:val="002301F5"/>
    <w:rsid w:val="00230E49"/>
    <w:rsid w:val="0023179F"/>
    <w:rsid w:val="00233430"/>
    <w:rsid w:val="002355AE"/>
    <w:rsid w:val="00242A9E"/>
    <w:rsid w:val="00243F83"/>
    <w:rsid w:val="00244C27"/>
    <w:rsid w:val="00245E8B"/>
    <w:rsid w:val="00246A81"/>
    <w:rsid w:val="00251771"/>
    <w:rsid w:val="00251E9D"/>
    <w:rsid w:val="00253B34"/>
    <w:rsid w:val="002547FF"/>
    <w:rsid w:val="00260254"/>
    <w:rsid w:val="0026370B"/>
    <w:rsid w:val="00266093"/>
    <w:rsid w:val="00266CCC"/>
    <w:rsid w:val="00270FE8"/>
    <w:rsid w:val="00271871"/>
    <w:rsid w:val="002724F7"/>
    <w:rsid w:val="00272793"/>
    <w:rsid w:val="00274056"/>
    <w:rsid w:val="002742F4"/>
    <w:rsid w:val="002761BC"/>
    <w:rsid w:val="00280D29"/>
    <w:rsid w:val="00284B66"/>
    <w:rsid w:val="00284C25"/>
    <w:rsid w:val="00291516"/>
    <w:rsid w:val="00293458"/>
    <w:rsid w:val="00297AF7"/>
    <w:rsid w:val="002A0E8E"/>
    <w:rsid w:val="002A4B19"/>
    <w:rsid w:val="002A5F5A"/>
    <w:rsid w:val="002A666E"/>
    <w:rsid w:val="002B2097"/>
    <w:rsid w:val="002C0879"/>
    <w:rsid w:val="002C3732"/>
    <w:rsid w:val="002C3B02"/>
    <w:rsid w:val="002C6E27"/>
    <w:rsid w:val="002C7F69"/>
    <w:rsid w:val="002E0062"/>
    <w:rsid w:val="002E1AC4"/>
    <w:rsid w:val="002F0858"/>
    <w:rsid w:val="002F1419"/>
    <w:rsid w:val="002F430D"/>
    <w:rsid w:val="002F572A"/>
    <w:rsid w:val="002F79B7"/>
    <w:rsid w:val="003006B0"/>
    <w:rsid w:val="00301D5D"/>
    <w:rsid w:val="00302925"/>
    <w:rsid w:val="00303A03"/>
    <w:rsid w:val="00303C20"/>
    <w:rsid w:val="00306DA2"/>
    <w:rsid w:val="003100EA"/>
    <w:rsid w:val="003105F0"/>
    <w:rsid w:val="0031182E"/>
    <w:rsid w:val="0031424D"/>
    <w:rsid w:val="0031528E"/>
    <w:rsid w:val="00324178"/>
    <w:rsid w:val="00325890"/>
    <w:rsid w:val="003265CC"/>
    <w:rsid w:val="00326BE7"/>
    <w:rsid w:val="00330936"/>
    <w:rsid w:val="00331BA0"/>
    <w:rsid w:val="00331C94"/>
    <w:rsid w:val="00332772"/>
    <w:rsid w:val="0033278C"/>
    <w:rsid w:val="00334AA7"/>
    <w:rsid w:val="003356A1"/>
    <w:rsid w:val="0033719E"/>
    <w:rsid w:val="00341DDD"/>
    <w:rsid w:val="003450C6"/>
    <w:rsid w:val="003478B0"/>
    <w:rsid w:val="00352D75"/>
    <w:rsid w:val="00356D82"/>
    <w:rsid w:val="00356FEA"/>
    <w:rsid w:val="00360513"/>
    <w:rsid w:val="00362189"/>
    <w:rsid w:val="00367362"/>
    <w:rsid w:val="00367ABC"/>
    <w:rsid w:val="00376F5C"/>
    <w:rsid w:val="00380879"/>
    <w:rsid w:val="003848E2"/>
    <w:rsid w:val="00386F02"/>
    <w:rsid w:val="003875FC"/>
    <w:rsid w:val="00387A7E"/>
    <w:rsid w:val="00392D34"/>
    <w:rsid w:val="00393C51"/>
    <w:rsid w:val="00393EA9"/>
    <w:rsid w:val="00394805"/>
    <w:rsid w:val="003A0BFB"/>
    <w:rsid w:val="003A1D1C"/>
    <w:rsid w:val="003A4FDE"/>
    <w:rsid w:val="003A5271"/>
    <w:rsid w:val="003A6C77"/>
    <w:rsid w:val="003B15B6"/>
    <w:rsid w:val="003B2AF5"/>
    <w:rsid w:val="003B2F7D"/>
    <w:rsid w:val="003B3B6C"/>
    <w:rsid w:val="003B76CE"/>
    <w:rsid w:val="003C50D3"/>
    <w:rsid w:val="003C5971"/>
    <w:rsid w:val="003D0B26"/>
    <w:rsid w:val="003D2083"/>
    <w:rsid w:val="003D365F"/>
    <w:rsid w:val="003E192C"/>
    <w:rsid w:val="003E6132"/>
    <w:rsid w:val="003E7972"/>
    <w:rsid w:val="003F0C69"/>
    <w:rsid w:val="003F197A"/>
    <w:rsid w:val="003F2A3A"/>
    <w:rsid w:val="003F40FC"/>
    <w:rsid w:val="003F714A"/>
    <w:rsid w:val="00401408"/>
    <w:rsid w:val="00403F38"/>
    <w:rsid w:val="004053B1"/>
    <w:rsid w:val="00405FB7"/>
    <w:rsid w:val="0040613F"/>
    <w:rsid w:val="00406617"/>
    <w:rsid w:val="00410A9C"/>
    <w:rsid w:val="00411DE9"/>
    <w:rsid w:val="00412BF2"/>
    <w:rsid w:val="0041344E"/>
    <w:rsid w:val="004235FE"/>
    <w:rsid w:val="00423AA9"/>
    <w:rsid w:val="00423CAE"/>
    <w:rsid w:val="00425ED7"/>
    <w:rsid w:val="004268FF"/>
    <w:rsid w:val="00432B91"/>
    <w:rsid w:val="004370A3"/>
    <w:rsid w:val="00437ED0"/>
    <w:rsid w:val="004400F7"/>
    <w:rsid w:val="00440AEF"/>
    <w:rsid w:val="0044100A"/>
    <w:rsid w:val="0044668A"/>
    <w:rsid w:val="00450BA7"/>
    <w:rsid w:val="00451F8C"/>
    <w:rsid w:val="0045328B"/>
    <w:rsid w:val="00457787"/>
    <w:rsid w:val="00457BF1"/>
    <w:rsid w:val="004657CC"/>
    <w:rsid w:val="00470627"/>
    <w:rsid w:val="00471973"/>
    <w:rsid w:val="004726EE"/>
    <w:rsid w:val="004729F2"/>
    <w:rsid w:val="00474966"/>
    <w:rsid w:val="004750D0"/>
    <w:rsid w:val="004752FC"/>
    <w:rsid w:val="00476092"/>
    <w:rsid w:val="00481669"/>
    <w:rsid w:val="0048167D"/>
    <w:rsid w:val="00487F0F"/>
    <w:rsid w:val="004906DF"/>
    <w:rsid w:val="00492239"/>
    <w:rsid w:val="004961A2"/>
    <w:rsid w:val="004A0B56"/>
    <w:rsid w:val="004A26E2"/>
    <w:rsid w:val="004A2CD2"/>
    <w:rsid w:val="004A425A"/>
    <w:rsid w:val="004A6993"/>
    <w:rsid w:val="004B18C6"/>
    <w:rsid w:val="004B5585"/>
    <w:rsid w:val="004B55B1"/>
    <w:rsid w:val="004C1FC8"/>
    <w:rsid w:val="004C72DB"/>
    <w:rsid w:val="004D1C57"/>
    <w:rsid w:val="004D2C14"/>
    <w:rsid w:val="004D3F82"/>
    <w:rsid w:val="004D423C"/>
    <w:rsid w:val="004D5A22"/>
    <w:rsid w:val="004D6C84"/>
    <w:rsid w:val="004E07DF"/>
    <w:rsid w:val="004E0F47"/>
    <w:rsid w:val="004E1FD1"/>
    <w:rsid w:val="004E1FD9"/>
    <w:rsid w:val="004E48A8"/>
    <w:rsid w:val="004E5C08"/>
    <w:rsid w:val="004E69CE"/>
    <w:rsid w:val="004F1BEE"/>
    <w:rsid w:val="004F56DB"/>
    <w:rsid w:val="005003CF"/>
    <w:rsid w:val="00502CCF"/>
    <w:rsid w:val="00505375"/>
    <w:rsid w:val="005067B6"/>
    <w:rsid w:val="005144E5"/>
    <w:rsid w:val="005151C2"/>
    <w:rsid w:val="00516670"/>
    <w:rsid w:val="0051689A"/>
    <w:rsid w:val="00516FCC"/>
    <w:rsid w:val="0052072A"/>
    <w:rsid w:val="005213B8"/>
    <w:rsid w:val="00521785"/>
    <w:rsid w:val="00522AA2"/>
    <w:rsid w:val="00523A7C"/>
    <w:rsid w:val="005300E3"/>
    <w:rsid w:val="00531797"/>
    <w:rsid w:val="005324EB"/>
    <w:rsid w:val="00536703"/>
    <w:rsid w:val="00537D42"/>
    <w:rsid w:val="005409B7"/>
    <w:rsid w:val="00541714"/>
    <w:rsid w:val="00541BC7"/>
    <w:rsid w:val="00541D34"/>
    <w:rsid w:val="005435F1"/>
    <w:rsid w:val="0054761E"/>
    <w:rsid w:val="00547D02"/>
    <w:rsid w:val="00550D58"/>
    <w:rsid w:val="0055257C"/>
    <w:rsid w:val="005526F4"/>
    <w:rsid w:val="00552D39"/>
    <w:rsid w:val="00562C2F"/>
    <w:rsid w:val="00563F4F"/>
    <w:rsid w:val="00566AE9"/>
    <w:rsid w:val="00570059"/>
    <w:rsid w:val="00575A52"/>
    <w:rsid w:val="005776D9"/>
    <w:rsid w:val="005824C1"/>
    <w:rsid w:val="00582811"/>
    <w:rsid w:val="00584497"/>
    <w:rsid w:val="00587B40"/>
    <w:rsid w:val="0059118C"/>
    <w:rsid w:val="00592F67"/>
    <w:rsid w:val="005936D1"/>
    <w:rsid w:val="00596910"/>
    <w:rsid w:val="005A0844"/>
    <w:rsid w:val="005A3B98"/>
    <w:rsid w:val="005A537A"/>
    <w:rsid w:val="005A5898"/>
    <w:rsid w:val="005B09B9"/>
    <w:rsid w:val="005B600A"/>
    <w:rsid w:val="005B7C8A"/>
    <w:rsid w:val="005C28B3"/>
    <w:rsid w:val="005C33F3"/>
    <w:rsid w:val="005C442F"/>
    <w:rsid w:val="005C5F99"/>
    <w:rsid w:val="005D0D3E"/>
    <w:rsid w:val="005D1618"/>
    <w:rsid w:val="005D372E"/>
    <w:rsid w:val="005D60FC"/>
    <w:rsid w:val="005D64FB"/>
    <w:rsid w:val="005D6F38"/>
    <w:rsid w:val="005E100D"/>
    <w:rsid w:val="005E477D"/>
    <w:rsid w:val="005E5511"/>
    <w:rsid w:val="005E5E2C"/>
    <w:rsid w:val="005E7709"/>
    <w:rsid w:val="005E78B7"/>
    <w:rsid w:val="005E790C"/>
    <w:rsid w:val="005F0200"/>
    <w:rsid w:val="005F2754"/>
    <w:rsid w:val="005F2AFD"/>
    <w:rsid w:val="005F446B"/>
    <w:rsid w:val="005F4AB9"/>
    <w:rsid w:val="005F5CBA"/>
    <w:rsid w:val="005F6CDE"/>
    <w:rsid w:val="005F7452"/>
    <w:rsid w:val="00601D20"/>
    <w:rsid w:val="00603CA4"/>
    <w:rsid w:val="006064A5"/>
    <w:rsid w:val="006071B6"/>
    <w:rsid w:val="006073BC"/>
    <w:rsid w:val="00610FBA"/>
    <w:rsid w:val="006110F4"/>
    <w:rsid w:val="0061795B"/>
    <w:rsid w:val="00617C38"/>
    <w:rsid w:val="006202F7"/>
    <w:rsid w:val="006206A1"/>
    <w:rsid w:val="00622ABD"/>
    <w:rsid w:val="00625452"/>
    <w:rsid w:val="0062585C"/>
    <w:rsid w:val="00633169"/>
    <w:rsid w:val="00640B5C"/>
    <w:rsid w:val="00642657"/>
    <w:rsid w:val="00642DCD"/>
    <w:rsid w:val="006440C0"/>
    <w:rsid w:val="00647EAF"/>
    <w:rsid w:val="0065122B"/>
    <w:rsid w:val="00660623"/>
    <w:rsid w:val="00661986"/>
    <w:rsid w:val="006669CE"/>
    <w:rsid w:val="006672AA"/>
    <w:rsid w:val="00672A97"/>
    <w:rsid w:val="0067588F"/>
    <w:rsid w:val="00676CFF"/>
    <w:rsid w:val="00680E91"/>
    <w:rsid w:val="0068260E"/>
    <w:rsid w:val="0068325F"/>
    <w:rsid w:val="006918BF"/>
    <w:rsid w:val="00694416"/>
    <w:rsid w:val="00694568"/>
    <w:rsid w:val="0069457C"/>
    <w:rsid w:val="006A64B9"/>
    <w:rsid w:val="006A7378"/>
    <w:rsid w:val="006B3313"/>
    <w:rsid w:val="006B3C74"/>
    <w:rsid w:val="006B4031"/>
    <w:rsid w:val="006B56B0"/>
    <w:rsid w:val="006C3317"/>
    <w:rsid w:val="006C6651"/>
    <w:rsid w:val="006C67AB"/>
    <w:rsid w:val="006C7CD5"/>
    <w:rsid w:val="006D0F37"/>
    <w:rsid w:val="006D3B57"/>
    <w:rsid w:val="006D3BE0"/>
    <w:rsid w:val="006D3C5C"/>
    <w:rsid w:val="006E0D45"/>
    <w:rsid w:val="006E2F69"/>
    <w:rsid w:val="006E4FE2"/>
    <w:rsid w:val="006F3428"/>
    <w:rsid w:val="00706DCD"/>
    <w:rsid w:val="007073D6"/>
    <w:rsid w:val="00712682"/>
    <w:rsid w:val="00716AAB"/>
    <w:rsid w:val="00716C11"/>
    <w:rsid w:val="00717072"/>
    <w:rsid w:val="00721091"/>
    <w:rsid w:val="00724B6C"/>
    <w:rsid w:val="00724DA0"/>
    <w:rsid w:val="00725163"/>
    <w:rsid w:val="00726256"/>
    <w:rsid w:val="0072743C"/>
    <w:rsid w:val="00727723"/>
    <w:rsid w:val="00733173"/>
    <w:rsid w:val="007359D8"/>
    <w:rsid w:val="00735A26"/>
    <w:rsid w:val="00735ECB"/>
    <w:rsid w:val="00741A88"/>
    <w:rsid w:val="007425E2"/>
    <w:rsid w:val="00742EF6"/>
    <w:rsid w:val="00744E31"/>
    <w:rsid w:val="0074516C"/>
    <w:rsid w:val="00746962"/>
    <w:rsid w:val="00753CEF"/>
    <w:rsid w:val="00757311"/>
    <w:rsid w:val="00760398"/>
    <w:rsid w:val="00761395"/>
    <w:rsid w:val="0076230A"/>
    <w:rsid w:val="00764746"/>
    <w:rsid w:val="007649E1"/>
    <w:rsid w:val="007659FB"/>
    <w:rsid w:val="007666EA"/>
    <w:rsid w:val="007717BE"/>
    <w:rsid w:val="00772025"/>
    <w:rsid w:val="00773105"/>
    <w:rsid w:val="00773C52"/>
    <w:rsid w:val="007750EC"/>
    <w:rsid w:val="00776940"/>
    <w:rsid w:val="00776C02"/>
    <w:rsid w:val="00780FCD"/>
    <w:rsid w:val="007816D6"/>
    <w:rsid w:val="00781CFD"/>
    <w:rsid w:val="00783D61"/>
    <w:rsid w:val="00790603"/>
    <w:rsid w:val="00791491"/>
    <w:rsid w:val="0079478E"/>
    <w:rsid w:val="00796A40"/>
    <w:rsid w:val="007A1FC6"/>
    <w:rsid w:val="007A4D59"/>
    <w:rsid w:val="007A5C19"/>
    <w:rsid w:val="007A7ED1"/>
    <w:rsid w:val="007B1D01"/>
    <w:rsid w:val="007B27A4"/>
    <w:rsid w:val="007B3C28"/>
    <w:rsid w:val="007B4873"/>
    <w:rsid w:val="007C069A"/>
    <w:rsid w:val="007C18AF"/>
    <w:rsid w:val="007D0795"/>
    <w:rsid w:val="007D0D05"/>
    <w:rsid w:val="007D106D"/>
    <w:rsid w:val="007D426A"/>
    <w:rsid w:val="007D456C"/>
    <w:rsid w:val="007E2D47"/>
    <w:rsid w:val="007E32F0"/>
    <w:rsid w:val="007E7176"/>
    <w:rsid w:val="007F12E6"/>
    <w:rsid w:val="007F2835"/>
    <w:rsid w:val="007F51DD"/>
    <w:rsid w:val="0080299B"/>
    <w:rsid w:val="00804D74"/>
    <w:rsid w:val="00810E02"/>
    <w:rsid w:val="008110E3"/>
    <w:rsid w:val="00812054"/>
    <w:rsid w:val="008165C1"/>
    <w:rsid w:val="00825220"/>
    <w:rsid w:val="00826B07"/>
    <w:rsid w:val="008272BB"/>
    <w:rsid w:val="00827C21"/>
    <w:rsid w:val="008308BF"/>
    <w:rsid w:val="00833874"/>
    <w:rsid w:val="008368B8"/>
    <w:rsid w:val="008404F1"/>
    <w:rsid w:val="008406DA"/>
    <w:rsid w:val="00841035"/>
    <w:rsid w:val="00841173"/>
    <w:rsid w:val="00843AFF"/>
    <w:rsid w:val="00845356"/>
    <w:rsid w:val="00845A74"/>
    <w:rsid w:val="0084754D"/>
    <w:rsid w:val="00850622"/>
    <w:rsid w:val="00851FAF"/>
    <w:rsid w:val="00855A3B"/>
    <w:rsid w:val="0085606E"/>
    <w:rsid w:val="00861F08"/>
    <w:rsid w:val="008620E5"/>
    <w:rsid w:val="008643AD"/>
    <w:rsid w:val="008651B3"/>
    <w:rsid w:val="00866256"/>
    <w:rsid w:val="0086786A"/>
    <w:rsid w:val="00870309"/>
    <w:rsid w:val="0087275C"/>
    <w:rsid w:val="00874C77"/>
    <w:rsid w:val="008755CC"/>
    <w:rsid w:val="00875CD9"/>
    <w:rsid w:val="0087642C"/>
    <w:rsid w:val="00876FF7"/>
    <w:rsid w:val="00877E9B"/>
    <w:rsid w:val="0088130F"/>
    <w:rsid w:val="00883470"/>
    <w:rsid w:val="008841A3"/>
    <w:rsid w:val="00885C05"/>
    <w:rsid w:val="008877C6"/>
    <w:rsid w:val="00894859"/>
    <w:rsid w:val="008A357E"/>
    <w:rsid w:val="008A546A"/>
    <w:rsid w:val="008A67B2"/>
    <w:rsid w:val="008A6CD0"/>
    <w:rsid w:val="008B19DE"/>
    <w:rsid w:val="008B3773"/>
    <w:rsid w:val="008B561F"/>
    <w:rsid w:val="008B666C"/>
    <w:rsid w:val="008C46BC"/>
    <w:rsid w:val="008C78B5"/>
    <w:rsid w:val="008D5484"/>
    <w:rsid w:val="008D57C9"/>
    <w:rsid w:val="008D5A69"/>
    <w:rsid w:val="008D5E30"/>
    <w:rsid w:val="008D6623"/>
    <w:rsid w:val="008E00D7"/>
    <w:rsid w:val="008E1DCE"/>
    <w:rsid w:val="008E4D0D"/>
    <w:rsid w:val="008E7085"/>
    <w:rsid w:val="008F054C"/>
    <w:rsid w:val="008F2150"/>
    <w:rsid w:val="00901CC6"/>
    <w:rsid w:val="00902B53"/>
    <w:rsid w:val="00905326"/>
    <w:rsid w:val="00910580"/>
    <w:rsid w:val="0091072B"/>
    <w:rsid w:val="00923769"/>
    <w:rsid w:val="009244EC"/>
    <w:rsid w:val="00931234"/>
    <w:rsid w:val="009313EB"/>
    <w:rsid w:val="00935826"/>
    <w:rsid w:val="00935E8D"/>
    <w:rsid w:val="0093700E"/>
    <w:rsid w:val="00941153"/>
    <w:rsid w:val="00942FAB"/>
    <w:rsid w:val="0094777A"/>
    <w:rsid w:val="0095012D"/>
    <w:rsid w:val="009520DC"/>
    <w:rsid w:val="00952F8D"/>
    <w:rsid w:val="00953EC7"/>
    <w:rsid w:val="009569C3"/>
    <w:rsid w:val="009604AC"/>
    <w:rsid w:val="00966DD9"/>
    <w:rsid w:val="009700A2"/>
    <w:rsid w:val="00971524"/>
    <w:rsid w:val="0097343F"/>
    <w:rsid w:val="00975FCE"/>
    <w:rsid w:val="00977133"/>
    <w:rsid w:val="0098226F"/>
    <w:rsid w:val="009840CB"/>
    <w:rsid w:val="00985B16"/>
    <w:rsid w:val="00991685"/>
    <w:rsid w:val="00992BEC"/>
    <w:rsid w:val="00992FD7"/>
    <w:rsid w:val="00993F08"/>
    <w:rsid w:val="00994427"/>
    <w:rsid w:val="00997E82"/>
    <w:rsid w:val="009A0F34"/>
    <w:rsid w:val="009A2DFD"/>
    <w:rsid w:val="009A3508"/>
    <w:rsid w:val="009A4DF8"/>
    <w:rsid w:val="009A6101"/>
    <w:rsid w:val="009B012F"/>
    <w:rsid w:val="009B1276"/>
    <w:rsid w:val="009B139A"/>
    <w:rsid w:val="009B1F1A"/>
    <w:rsid w:val="009B1F8E"/>
    <w:rsid w:val="009B7C01"/>
    <w:rsid w:val="009C04BA"/>
    <w:rsid w:val="009C3358"/>
    <w:rsid w:val="009C3B85"/>
    <w:rsid w:val="009C7086"/>
    <w:rsid w:val="009D1541"/>
    <w:rsid w:val="009D1D32"/>
    <w:rsid w:val="009D280D"/>
    <w:rsid w:val="009D65AE"/>
    <w:rsid w:val="009D7267"/>
    <w:rsid w:val="009D7657"/>
    <w:rsid w:val="009D76FC"/>
    <w:rsid w:val="009D7F1A"/>
    <w:rsid w:val="009E06A1"/>
    <w:rsid w:val="009E1F0D"/>
    <w:rsid w:val="009E3BB7"/>
    <w:rsid w:val="009E58D9"/>
    <w:rsid w:val="009E672F"/>
    <w:rsid w:val="009F3B6A"/>
    <w:rsid w:val="009F4A1A"/>
    <w:rsid w:val="009F60DE"/>
    <w:rsid w:val="00A00484"/>
    <w:rsid w:val="00A00F30"/>
    <w:rsid w:val="00A010F9"/>
    <w:rsid w:val="00A0236F"/>
    <w:rsid w:val="00A054F1"/>
    <w:rsid w:val="00A10085"/>
    <w:rsid w:val="00A11704"/>
    <w:rsid w:val="00A160FB"/>
    <w:rsid w:val="00A20F49"/>
    <w:rsid w:val="00A2250E"/>
    <w:rsid w:val="00A2282D"/>
    <w:rsid w:val="00A242B2"/>
    <w:rsid w:val="00A25DD1"/>
    <w:rsid w:val="00A27631"/>
    <w:rsid w:val="00A320C3"/>
    <w:rsid w:val="00A368C1"/>
    <w:rsid w:val="00A37C29"/>
    <w:rsid w:val="00A47ED5"/>
    <w:rsid w:val="00A50519"/>
    <w:rsid w:val="00A53DFC"/>
    <w:rsid w:val="00A55939"/>
    <w:rsid w:val="00A572CD"/>
    <w:rsid w:val="00A62D60"/>
    <w:rsid w:val="00A712C6"/>
    <w:rsid w:val="00A738B8"/>
    <w:rsid w:val="00A7401A"/>
    <w:rsid w:val="00A741B5"/>
    <w:rsid w:val="00A7493B"/>
    <w:rsid w:val="00A776F1"/>
    <w:rsid w:val="00A77AF7"/>
    <w:rsid w:val="00A8098D"/>
    <w:rsid w:val="00A858E2"/>
    <w:rsid w:val="00A90B9B"/>
    <w:rsid w:val="00A94B7A"/>
    <w:rsid w:val="00A968BF"/>
    <w:rsid w:val="00AA1112"/>
    <w:rsid w:val="00AA2E1F"/>
    <w:rsid w:val="00AA49E7"/>
    <w:rsid w:val="00AA6248"/>
    <w:rsid w:val="00AA6F87"/>
    <w:rsid w:val="00AA7D18"/>
    <w:rsid w:val="00AB07D4"/>
    <w:rsid w:val="00AB47DF"/>
    <w:rsid w:val="00AB4953"/>
    <w:rsid w:val="00AB529A"/>
    <w:rsid w:val="00AB6917"/>
    <w:rsid w:val="00AC00D4"/>
    <w:rsid w:val="00AD0D99"/>
    <w:rsid w:val="00AD125D"/>
    <w:rsid w:val="00AD155F"/>
    <w:rsid w:val="00AD3DCF"/>
    <w:rsid w:val="00AD4579"/>
    <w:rsid w:val="00AD5771"/>
    <w:rsid w:val="00AE2A07"/>
    <w:rsid w:val="00AE2C89"/>
    <w:rsid w:val="00AE4AD4"/>
    <w:rsid w:val="00AE4E59"/>
    <w:rsid w:val="00AE7324"/>
    <w:rsid w:val="00AF2D9A"/>
    <w:rsid w:val="00AF4852"/>
    <w:rsid w:val="00B00409"/>
    <w:rsid w:val="00B01D93"/>
    <w:rsid w:val="00B05426"/>
    <w:rsid w:val="00B05F5A"/>
    <w:rsid w:val="00B06890"/>
    <w:rsid w:val="00B12AE7"/>
    <w:rsid w:val="00B12B75"/>
    <w:rsid w:val="00B145D2"/>
    <w:rsid w:val="00B205F0"/>
    <w:rsid w:val="00B2107E"/>
    <w:rsid w:val="00B2187A"/>
    <w:rsid w:val="00B21E2E"/>
    <w:rsid w:val="00B21E3E"/>
    <w:rsid w:val="00B24D27"/>
    <w:rsid w:val="00B31870"/>
    <w:rsid w:val="00B32BF4"/>
    <w:rsid w:val="00B36C2D"/>
    <w:rsid w:val="00B4193D"/>
    <w:rsid w:val="00B4290A"/>
    <w:rsid w:val="00B52197"/>
    <w:rsid w:val="00B526C5"/>
    <w:rsid w:val="00B52858"/>
    <w:rsid w:val="00B55FBA"/>
    <w:rsid w:val="00B63F16"/>
    <w:rsid w:val="00B65FD5"/>
    <w:rsid w:val="00B70BEA"/>
    <w:rsid w:val="00B72E87"/>
    <w:rsid w:val="00B74E0D"/>
    <w:rsid w:val="00B81415"/>
    <w:rsid w:val="00B819A9"/>
    <w:rsid w:val="00B82412"/>
    <w:rsid w:val="00B82BC7"/>
    <w:rsid w:val="00B8365A"/>
    <w:rsid w:val="00B85DD8"/>
    <w:rsid w:val="00B87EC5"/>
    <w:rsid w:val="00B90740"/>
    <w:rsid w:val="00B92013"/>
    <w:rsid w:val="00B92F57"/>
    <w:rsid w:val="00B9355C"/>
    <w:rsid w:val="00B95FFB"/>
    <w:rsid w:val="00B97294"/>
    <w:rsid w:val="00B97DEB"/>
    <w:rsid w:val="00BA2C5B"/>
    <w:rsid w:val="00BA318E"/>
    <w:rsid w:val="00BA4901"/>
    <w:rsid w:val="00BA4C02"/>
    <w:rsid w:val="00BA55AE"/>
    <w:rsid w:val="00BB1B74"/>
    <w:rsid w:val="00BB2FBE"/>
    <w:rsid w:val="00BB5936"/>
    <w:rsid w:val="00BC0803"/>
    <w:rsid w:val="00BC1F1C"/>
    <w:rsid w:val="00BC2260"/>
    <w:rsid w:val="00BC37DD"/>
    <w:rsid w:val="00BC5438"/>
    <w:rsid w:val="00BC6BF8"/>
    <w:rsid w:val="00BC72F8"/>
    <w:rsid w:val="00BD04AC"/>
    <w:rsid w:val="00BD1523"/>
    <w:rsid w:val="00BD1FCE"/>
    <w:rsid w:val="00BD2B94"/>
    <w:rsid w:val="00BD3B13"/>
    <w:rsid w:val="00BD563C"/>
    <w:rsid w:val="00BD5E6D"/>
    <w:rsid w:val="00BD7084"/>
    <w:rsid w:val="00BE0160"/>
    <w:rsid w:val="00BE645C"/>
    <w:rsid w:val="00BE6511"/>
    <w:rsid w:val="00BE744C"/>
    <w:rsid w:val="00BF51A2"/>
    <w:rsid w:val="00C00F54"/>
    <w:rsid w:val="00C127B4"/>
    <w:rsid w:val="00C12B0D"/>
    <w:rsid w:val="00C15590"/>
    <w:rsid w:val="00C24030"/>
    <w:rsid w:val="00C25245"/>
    <w:rsid w:val="00C25B49"/>
    <w:rsid w:val="00C348C3"/>
    <w:rsid w:val="00C356F2"/>
    <w:rsid w:val="00C4041B"/>
    <w:rsid w:val="00C418C7"/>
    <w:rsid w:val="00C4234A"/>
    <w:rsid w:val="00C5487B"/>
    <w:rsid w:val="00C56DFC"/>
    <w:rsid w:val="00C626F1"/>
    <w:rsid w:val="00C63018"/>
    <w:rsid w:val="00C63539"/>
    <w:rsid w:val="00C66B2E"/>
    <w:rsid w:val="00C704CE"/>
    <w:rsid w:val="00C71CA7"/>
    <w:rsid w:val="00C72553"/>
    <w:rsid w:val="00C74419"/>
    <w:rsid w:val="00C755E4"/>
    <w:rsid w:val="00C75D97"/>
    <w:rsid w:val="00C767CC"/>
    <w:rsid w:val="00C772C1"/>
    <w:rsid w:val="00C86004"/>
    <w:rsid w:val="00C93A43"/>
    <w:rsid w:val="00C94D21"/>
    <w:rsid w:val="00C95611"/>
    <w:rsid w:val="00C96BBC"/>
    <w:rsid w:val="00C9779A"/>
    <w:rsid w:val="00CA4E2F"/>
    <w:rsid w:val="00CA7B8B"/>
    <w:rsid w:val="00CB0748"/>
    <w:rsid w:val="00CB0E9A"/>
    <w:rsid w:val="00CB4121"/>
    <w:rsid w:val="00CB6A61"/>
    <w:rsid w:val="00CB7759"/>
    <w:rsid w:val="00CC131F"/>
    <w:rsid w:val="00CC520C"/>
    <w:rsid w:val="00CC5856"/>
    <w:rsid w:val="00CC61E7"/>
    <w:rsid w:val="00CD0FBC"/>
    <w:rsid w:val="00CD2A56"/>
    <w:rsid w:val="00CD2BAE"/>
    <w:rsid w:val="00CD4A2B"/>
    <w:rsid w:val="00CD4E03"/>
    <w:rsid w:val="00CD5831"/>
    <w:rsid w:val="00CD6985"/>
    <w:rsid w:val="00CE09E5"/>
    <w:rsid w:val="00CE1A17"/>
    <w:rsid w:val="00CF0BB5"/>
    <w:rsid w:val="00CF1CD5"/>
    <w:rsid w:val="00CF41A9"/>
    <w:rsid w:val="00CF7DA8"/>
    <w:rsid w:val="00D00BF2"/>
    <w:rsid w:val="00D0197E"/>
    <w:rsid w:val="00D01FCD"/>
    <w:rsid w:val="00D01FD7"/>
    <w:rsid w:val="00D0719C"/>
    <w:rsid w:val="00D10CF5"/>
    <w:rsid w:val="00D14B92"/>
    <w:rsid w:val="00D1530F"/>
    <w:rsid w:val="00D1590A"/>
    <w:rsid w:val="00D17688"/>
    <w:rsid w:val="00D23B63"/>
    <w:rsid w:val="00D254AE"/>
    <w:rsid w:val="00D27949"/>
    <w:rsid w:val="00D30284"/>
    <w:rsid w:val="00D365CE"/>
    <w:rsid w:val="00D3786F"/>
    <w:rsid w:val="00D40391"/>
    <w:rsid w:val="00D45340"/>
    <w:rsid w:val="00D45EA5"/>
    <w:rsid w:val="00D5356F"/>
    <w:rsid w:val="00D54426"/>
    <w:rsid w:val="00D572AE"/>
    <w:rsid w:val="00D66EBF"/>
    <w:rsid w:val="00D67821"/>
    <w:rsid w:val="00D67DBA"/>
    <w:rsid w:val="00D700B8"/>
    <w:rsid w:val="00D816EA"/>
    <w:rsid w:val="00D8469E"/>
    <w:rsid w:val="00D91433"/>
    <w:rsid w:val="00D924EB"/>
    <w:rsid w:val="00D94882"/>
    <w:rsid w:val="00DA1635"/>
    <w:rsid w:val="00DA28D2"/>
    <w:rsid w:val="00DA6236"/>
    <w:rsid w:val="00DA7EF3"/>
    <w:rsid w:val="00DB02EB"/>
    <w:rsid w:val="00DB071A"/>
    <w:rsid w:val="00DB1114"/>
    <w:rsid w:val="00DB2290"/>
    <w:rsid w:val="00DB661C"/>
    <w:rsid w:val="00DC1929"/>
    <w:rsid w:val="00DC2312"/>
    <w:rsid w:val="00DE028E"/>
    <w:rsid w:val="00DE26B7"/>
    <w:rsid w:val="00DE78E6"/>
    <w:rsid w:val="00DE7F58"/>
    <w:rsid w:val="00DF20CB"/>
    <w:rsid w:val="00DF60C0"/>
    <w:rsid w:val="00DF6F15"/>
    <w:rsid w:val="00DF72B3"/>
    <w:rsid w:val="00E00904"/>
    <w:rsid w:val="00E019F0"/>
    <w:rsid w:val="00E02218"/>
    <w:rsid w:val="00E03ECC"/>
    <w:rsid w:val="00E05161"/>
    <w:rsid w:val="00E06B0E"/>
    <w:rsid w:val="00E074D6"/>
    <w:rsid w:val="00E10471"/>
    <w:rsid w:val="00E1250D"/>
    <w:rsid w:val="00E14ED0"/>
    <w:rsid w:val="00E16993"/>
    <w:rsid w:val="00E17CB7"/>
    <w:rsid w:val="00E20DBD"/>
    <w:rsid w:val="00E21DED"/>
    <w:rsid w:val="00E25320"/>
    <w:rsid w:val="00E31E90"/>
    <w:rsid w:val="00E337A9"/>
    <w:rsid w:val="00E34F8E"/>
    <w:rsid w:val="00E36B8D"/>
    <w:rsid w:val="00E42E67"/>
    <w:rsid w:val="00E43B2F"/>
    <w:rsid w:val="00E521AE"/>
    <w:rsid w:val="00E525A3"/>
    <w:rsid w:val="00E53263"/>
    <w:rsid w:val="00E535D3"/>
    <w:rsid w:val="00E5399E"/>
    <w:rsid w:val="00E54B65"/>
    <w:rsid w:val="00E55655"/>
    <w:rsid w:val="00E57341"/>
    <w:rsid w:val="00E62BE3"/>
    <w:rsid w:val="00E6381D"/>
    <w:rsid w:val="00E64F35"/>
    <w:rsid w:val="00E65584"/>
    <w:rsid w:val="00E668C4"/>
    <w:rsid w:val="00E7033B"/>
    <w:rsid w:val="00E70F85"/>
    <w:rsid w:val="00E74168"/>
    <w:rsid w:val="00E7700A"/>
    <w:rsid w:val="00E80FA9"/>
    <w:rsid w:val="00E82CD5"/>
    <w:rsid w:val="00E82F7C"/>
    <w:rsid w:val="00E83B58"/>
    <w:rsid w:val="00E85BD3"/>
    <w:rsid w:val="00E87A2E"/>
    <w:rsid w:val="00E917DD"/>
    <w:rsid w:val="00E92381"/>
    <w:rsid w:val="00E9276A"/>
    <w:rsid w:val="00E93F93"/>
    <w:rsid w:val="00E96131"/>
    <w:rsid w:val="00EA021E"/>
    <w:rsid w:val="00EA162E"/>
    <w:rsid w:val="00EA23D9"/>
    <w:rsid w:val="00EA2917"/>
    <w:rsid w:val="00EA538D"/>
    <w:rsid w:val="00EA6932"/>
    <w:rsid w:val="00EB2B4E"/>
    <w:rsid w:val="00EB50A4"/>
    <w:rsid w:val="00EB776A"/>
    <w:rsid w:val="00EC0665"/>
    <w:rsid w:val="00EC1F60"/>
    <w:rsid w:val="00EC23E7"/>
    <w:rsid w:val="00EC29A7"/>
    <w:rsid w:val="00EC7B75"/>
    <w:rsid w:val="00EE004D"/>
    <w:rsid w:val="00EE1052"/>
    <w:rsid w:val="00EE45C6"/>
    <w:rsid w:val="00EE4AE4"/>
    <w:rsid w:val="00EE67EB"/>
    <w:rsid w:val="00EF0A70"/>
    <w:rsid w:val="00EF3798"/>
    <w:rsid w:val="00F00901"/>
    <w:rsid w:val="00F013AC"/>
    <w:rsid w:val="00F0206B"/>
    <w:rsid w:val="00F026FB"/>
    <w:rsid w:val="00F02D54"/>
    <w:rsid w:val="00F056E5"/>
    <w:rsid w:val="00F05962"/>
    <w:rsid w:val="00F07670"/>
    <w:rsid w:val="00F0779F"/>
    <w:rsid w:val="00F10126"/>
    <w:rsid w:val="00F11481"/>
    <w:rsid w:val="00F1247B"/>
    <w:rsid w:val="00F14A06"/>
    <w:rsid w:val="00F15226"/>
    <w:rsid w:val="00F177F4"/>
    <w:rsid w:val="00F203E8"/>
    <w:rsid w:val="00F22EE0"/>
    <w:rsid w:val="00F249E1"/>
    <w:rsid w:val="00F25813"/>
    <w:rsid w:val="00F26610"/>
    <w:rsid w:val="00F26CCC"/>
    <w:rsid w:val="00F367CC"/>
    <w:rsid w:val="00F40FC8"/>
    <w:rsid w:val="00F41CCF"/>
    <w:rsid w:val="00F42F8F"/>
    <w:rsid w:val="00F435EA"/>
    <w:rsid w:val="00F438C3"/>
    <w:rsid w:val="00F43F18"/>
    <w:rsid w:val="00F47332"/>
    <w:rsid w:val="00F51BED"/>
    <w:rsid w:val="00F52BBE"/>
    <w:rsid w:val="00F53839"/>
    <w:rsid w:val="00F548E1"/>
    <w:rsid w:val="00F54BA7"/>
    <w:rsid w:val="00F63811"/>
    <w:rsid w:val="00F64411"/>
    <w:rsid w:val="00F649B7"/>
    <w:rsid w:val="00F74EF9"/>
    <w:rsid w:val="00F75683"/>
    <w:rsid w:val="00F75781"/>
    <w:rsid w:val="00F75F39"/>
    <w:rsid w:val="00F822B6"/>
    <w:rsid w:val="00F85BC0"/>
    <w:rsid w:val="00F85C0B"/>
    <w:rsid w:val="00F86333"/>
    <w:rsid w:val="00F90503"/>
    <w:rsid w:val="00F910B2"/>
    <w:rsid w:val="00F9204E"/>
    <w:rsid w:val="00F9277A"/>
    <w:rsid w:val="00F932B7"/>
    <w:rsid w:val="00FA2B3F"/>
    <w:rsid w:val="00FA5392"/>
    <w:rsid w:val="00FA603D"/>
    <w:rsid w:val="00FB1811"/>
    <w:rsid w:val="00FB2900"/>
    <w:rsid w:val="00FB42EC"/>
    <w:rsid w:val="00FB4B67"/>
    <w:rsid w:val="00FB5308"/>
    <w:rsid w:val="00FB5B86"/>
    <w:rsid w:val="00FB7B57"/>
    <w:rsid w:val="00FC12D9"/>
    <w:rsid w:val="00FC1840"/>
    <w:rsid w:val="00FC1FD8"/>
    <w:rsid w:val="00FC232F"/>
    <w:rsid w:val="00FC2B5B"/>
    <w:rsid w:val="00FC6D14"/>
    <w:rsid w:val="00FC6E0B"/>
    <w:rsid w:val="00FD11EF"/>
    <w:rsid w:val="00FD2146"/>
    <w:rsid w:val="00FD4EAE"/>
    <w:rsid w:val="00FE185D"/>
    <w:rsid w:val="00FE4F46"/>
    <w:rsid w:val="00FE7247"/>
    <w:rsid w:val="00FF49DB"/>
    <w:rsid w:val="00FF5AE0"/>
    <w:rsid w:val="025649A5"/>
    <w:rsid w:val="02EE4545"/>
    <w:rsid w:val="04B213C1"/>
    <w:rsid w:val="07B830C9"/>
    <w:rsid w:val="08591B53"/>
    <w:rsid w:val="0AAE4873"/>
    <w:rsid w:val="0C711B61"/>
    <w:rsid w:val="0E5E1357"/>
    <w:rsid w:val="0F522C33"/>
    <w:rsid w:val="10625970"/>
    <w:rsid w:val="13BF7656"/>
    <w:rsid w:val="144C6484"/>
    <w:rsid w:val="147C701C"/>
    <w:rsid w:val="164E481D"/>
    <w:rsid w:val="165F67BF"/>
    <w:rsid w:val="16A3679F"/>
    <w:rsid w:val="16F64807"/>
    <w:rsid w:val="170535D2"/>
    <w:rsid w:val="17863082"/>
    <w:rsid w:val="1A564145"/>
    <w:rsid w:val="1AF5570C"/>
    <w:rsid w:val="1B3F6F31"/>
    <w:rsid w:val="1FE73867"/>
    <w:rsid w:val="20152DEF"/>
    <w:rsid w:val="22AF4D3A"/>
    <w:rsid w:val="231B0274"/>
    <w:rsid w:val="239857CE"/>
    <w:rsid w:val="240942E1"/>
    <w:rsid w:val="24CF6863"/>
    <w:rsid w:val="257B0F03"/>
    <w:rsid w:val="271F4AC7"/>
    <w:rsid w:val="27D56FF1"/>
    <w:rsid w:val="298A7967"/>
    <w:rsid w:val="2A4F604D"/>
    <w:rsid w:val="2B7803BF"/>
    <w:rsid w:val="2DA27E29"/>
    <w:rsid w:val="2DFD3081"/>
    <w:rsid w:val="2F515458"/>
    <w:rsid w:val="2F972B34"/>
    <w:rsid w:val="2FD75490"/>
    <w:rsid w:val="30E367CA"/>
    <w:rsid w:val="30EB2E74"/>
    <w:rsid w:val="3141132E"/>
    <w:rsid w:val="33151E94"/>
    <w:rsid w:val="3385074A"/>
    <w:rsid w:val="354A7834"/>
    <w:rsid w:val="35A10CFB"/>
    <w:rsid w:val="37DA5F5D"/>
    <w:rsid w:val="396A50BF"/>
    <w:rsid w:val="3C644D24"/>
    <w:rsid w:val="3CA40574"/>
    <w:rsid w:val="3D60686E"/>
    <w:rsid w:val="3FF557B9"/>
    <w:rsid w:val="403B217E"/>
    <w:rsid w:val="41CA7043"/>
    <w:rsid w:val="43F6411F"/>
    <w:rsid w:val="456E5482"/>
    <w:rsid w:val="48097E12"/>
    <w:rsid w:val="48A64365"/>
    <w:rsid w:val="48BF3E0F"/>
    <w:rsid w:val="4BEA2746"/>
    <w:rsid w:val="4CBB4C3F"/>
    <w:rsid w:val="4D1B0B1C"/>
    <w:rsid w:val="4D671BE9"/>
    <w:rsid w:val="4FDE320E"/>
    <w:rsid w:val="4FE614EB"/>
    <w:rsid w:val="504B134F"/>
    <w:rsid w:val="50BB2978"/>
    <w:rsid w:val="50C23D07"/>
    <w:rsid w:val="53CB68D7"/>
    <w:rsid w:val="5A3B68D8"/>
    <w:rsid w:val="5A6B2D19"/>
    <w:rsid w:val="5AC12619"/>
    <w:rsid w:val="5AEB4C4D"/>
    <w:rsid w:val="5C437082"/>
    <w:rsid w:val="5E5534AE"/>
    <w:rsid w:val="5EFC447F"/>
    <w:rsid w:val="6110461A"/>
    <w:rsid w:val="61EB473F"/>
    <w:rsid w:val="63B21468"/>
    <w:rsid w:val="657F1DD3"/>
    <w:rsid w:val="657F408A"/>
    <w:rsid w:val="66434E23"/>
    <w:rsid w:val="67D16B97"/>
    <w:rsid w:val="67D72F49"/>
    <w:rsid w:val="68DB61C0"/>
    <w:rsid w:val="6A312515"/>
    <w:rsid w:val="6B733784"/>
    <w:rsid w:val="6C186A79"/>
    <w:rsid w:val="6D087337"/>
    <w:rsid w:val="6D334FAA"/>
    <w:rsid w:val="726C57F1"/>
    <w:rsid w:val="73D523AE"/>
    <w:rsid w:val="74582108"/>
    <w:rsid w:val="754212BF"/>
    <w:rsid w:val="78A53442"/>
    <w:rsid w:val="78CB26D2"/>
    <w:rsid w:val="79CA4A4A"/>
    <w:rsid w:val="7A832EEB"/>
    <w:rsid w:val="7B3B2BFD"/>
    <w:rsid w:val="7C975798"/>
    <w:rsid w:val="7CA80F61"/>
    <w:rsid w:val="7D6A07B6"/>
    <w:rsid w:val="7EB26183"/>
    <w:rsid w:val="7FFE54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link w:val="1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4">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customStyle="1" w:styleId="2">
    <w:name w:val="4－正文LX"/>
    <w:next w:val="1"/>
    <w:qFormat/>
    <w:uiPriority w:val="0"/>
    <w:pPr>
      <w:spacing w:line="300" w:lineRule="auto"/>
      <w:ind w:firstLine="200" w:firstLineChars="200"/>
    </w:pPr>
    <w:rPr>
      <w:rFonts w:ascii="Times New Roman" w:hAnsi="Times New Roman" w:eastAsia="宋体" w:cs="Times New Roman"/>
      <w:kern w:val="2"/>
      <w:sz w:val="24"/>
      <w:szCs w:val="24"/>
      <w:lang w:val="sv-SE" w:eastAsia="zh-CN" w:bidi="ar-SA"/>
    </w:rPr>
  </w:style>
  <w:style w:type="paragraph" w:styleId="5">
    <w:name w:val="annotation text"/>
    <w:basedOn w:val="1"/>
    <w:link w:val="20"/>
    <w:unhideWhenUsed/>
    <w:qFormat/>
    <w:uiPriority w:val="99"/>
    <w:pPr>
      <w:jc w:val="left"/>
    </w:pPr>
  </w:style>
  <w:style w:type="paragraph" w:styleId="6">
    <w:name w:val="Body Text"/>
    <w:basedOn w:val="1"/>
    <w:qFormat/>
    <w:uiPriority w:val="1"/>
    <w:pPr>
      <w:spacing w:before="161"/>
      <w:ind w:left="229"/>
    </w:pPr>
    <w:rPr>
      <w:rFonts w:ascii="宋体" w:hAnsi="宋体" w:eastAsia="宋体" w:cs="宋体"/>
      <w:sz w:val="24"/>
      <w:szCs w:val="24"/>
      <w:lang w:val="zh-CN" w:eastAsia="zh-CN" w:bidi="zh-CN"/>
    </w:rPr>
  </w:style>
  <w:style w:type="paragraph" w:styleId="7">
    <w:name w:val="Balloon Text"/>
    <w:basedOn w:val="1"/>
    <w:link w:val="21"/>
    <w:unhideWhenUsed/>
    <w:qFormat/>
    <w:uiPriority w:val="99"/>
    <w:rPr>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annotation subject"/>
    <w:basedOn w:val="5"/>
    <w:next w:val="5"/>
    <w:link w:val="24"/>
    <w:unhideWhenUsed/>
    <w:qFormat/>
    <w:uiPriority w:val="99"/>
    <w:rPr>
      <w:b/>
      <w:bCs/>
    </w:rPr>
  </w:style>
  <w:style w:type="table" w:styleId="13">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FollowedHyperlink"/>
    <w:basedOn w:val="14"/>
    <w:semiHidden/>
    <w:unhideWhenUsed/>
    <w:qFormat/>
    <w:uiPriority w:val="99"/>
    <w:rPr>
      <w:color w:val="800080"/>
      <w:u w:val="single"/>
    </w:rPr>
  </w:style>
  <w:style w:type="character" w:styleId="16">
    <w:name w:val="Hyperlink"/>
    <w:basedOn w:val="14"/>
    <w:unhideWhenUsed/>
    <w:qFormat/>
    <w:uiPriority w:val="99"/>
    <w:rPr>
      <w:color w:val="0000FF"/>
      <w:u w:val="single"/>
    </w:rPr>
  </w:style>
  <w:style w:type="character" w:styleId="17">
    <w:name w:val="annotation reference"/>
    <w:basedOn w:val="14"/>
    <w:unhideWhenUsed/>
    <w:qFormat/>
    <w:uiPriority w:val="99"/>
    <w:rPr>
      <w:sz w:val="21"/>
      <w:szCs w:val="21"/>
    </w:rPr>
  </w:style>
  <w:style w:type="character" w:customStyle="1" w:styleId="18">
    <w:name w:val="标题 1 字符"/>
    <w:basedOn w:val="14"/>
    <w:link w:val="3"/>
    <w:qFormat/>
    <w:uiPriority w:val="9"/>
    <w:rPr>
      <w:rFonts w:ascii="宋体" w:hAnsi="宋体" w:eastAsia="宋体" w:cs="宋体"/>
      <w:b/>
      <w:bCs/>
      <w:kern w:val="36"/>
      <w:sz w:val="48"/>
      <w:szCs w:val="48"/>
    </w:rPr>
  </w:style>
  <w:style w:type="character" w:customStyle="1" w:styleId="19">
    <w:name w:val="标题 3 字符"/>
    <w:basedOn w:val="14"/>
    <w:link w:val="4"/>
    <w:semiHidden/>
    <w:qFormat/>
    <w:uiPriority w:val="9"/>
    <w:rPr>
      <w:b/>
      <w:bCs/>
      <w:sz w:val="32"/>
      <w:szCs w:val="32"/>
    </w:rPr>
  </w:style>
  <w:style w:type="character" w:customStyle="1" w:styleId="20">
    <w:name w:val="批注文字 字符"/>
    <w:basedOn w:val="14"/>
    <w:link w:val="5"/>
    <w:semiHidden/>
    <w:qFormat/>
    <w:uiPriority w:val="99"/>
  </w:style>
  <w:style w:type="character" w:customStyle="1" w:styleId="21">
    <w:name w:val="批注框文本 字符"/>
    <w:basedOn w:val="14"/>
    <w:link w:val="7"/>
    <w:semiHidden/>
    <w:qFormat/>
    <w:uiPriority w:val="99"/>
    <w:rPr>
      <w:sz w:val="18"/>
      <w:szCs w:val="18"/>
    </w:rPr>
  </w:style>
  <w:style w:type="character" w:customStyle="1" w:styleId="22">
    <w:name w:val="页脚 字符"/>
    <w:basedOn w:val="14"/>
    <w:link w:val="8"/>
    <w:qFormat/>
    <w:uiPriority w:val="99"/>
    <w:rPr>
      <w:sz w:val="18"/>
      <w:szCs w:val="18"/>
    </w:rPr>
  </w:style>
  <w:style w:type="character" w:customStyle="1" w:styleId="23">
    <w:name w:val="页眉 字符"/>
    <w:basedOn w:val="14"/>
    <w:link w:val="9"/>
    <w:qFormat/>
    <w:uiPriority w:val="99"/>
    <w:rPr>
      <w:sz w:val="18"/>
      <w:szCs w:val="18"/>
    </w:rPr>
  </w:style>
  <w:style w:type="character" w:customStyle="1" w:styleId="24">
    <w:name w:val="批注主题 字符"/>
    <w:basedOn w:val="20"/>
    <w:link w:val="11"/>
    <w:semiHidden/>
    <w:qFormat/>
    <w:uiPriority w:val="99"/>
    <w:rPr>
      <w:b/>
      <w:bCs/>
    </w:rPr>
  </w:style>
  <w:style w:type="character" w:customStyle="1" w:styleId="25">
    <w:name w:val="fontstyle01"/>
    <w:basedOn w:val="14"/>
    <w:qFormat/>
    <w:uiPriority w:val="0"/>
    <w:rPr>
      <w:rFonts w:hint="default" w:ascii="Times New Roman" w:hAnsi="Times New Roman" w:cs="Times New Roman"/>
      <w:i/>
      <w:iCs/>
      <w:color w:val="000000"/>
      <w:sz w:val="22"/>
      <w:szCs w:val="22"/>
    </w:rPr>
  </w:style>
  <w:style w:type="paragraph" w:customStyle="1" w:styleId="26">
    <w:name w:val="修订1"/>
    <w:semiHidden/>
    <w:qFormat/>
    <w:uiPriority w:val="99"/>
    <w:rPr>
      <w:rFonts w:ascii="等线" w:hAnsi="等线" w:eastAsia="等线" w:cs="Times New Roman"/>
      <w:kern w:val="2"/>
      <w:sz w:val="21"/>
      <w:szCs w:val="22"/>
      <w:lang w:val="en-US" w:eastAsia="zh-CN" w:bidi="ar-SA"/>
    </w:rPr>
  </w:style>
  <w:style w:type="paragraph" w:styleId="27">
    <w:name w:val="List Paragraph"/>
    <w:basedOn w:val="1"/>
    <w:qFormat/>
    <w:uiPriority w:val="34"/>
    <w:pPr>
      <w:ind w:firstLine="420" w:firstLineChars="200"/>
    </w:pPr>
  </w:style>
  <w:style w:type="paragraph" w:customStyle="1" w:styleId="28">
    <w:name w:val="Default"/>
    <w:qFormat/>
    <w:uiPriority w:val="0"/>
    <w:pPr>
      <w:widowControl w:val="0"/>
      <w:autoSpaceDE w:val="0"/>
      <w:autoSpaceDN w:val="0"/>
      <w:adjustRightInd w:val="0"/>
    </w:pPr>
    <w:rPr>
      <w:rFonts w:ascii="宋体" w:hAnsi="宋体" w:eastAsia="等线" w:cs="宋体"/>
      <w:color w:val="000000"/>
      <w:sz w:val="24"/>
      <w:szCs w:val="24"/>
      <w:lang w:val="en-US" w:eastAsia="zh-CN" w:bidi="ar-SA"/>
    </w:rPr>
  </w:style>
  <w:style w:type="paragraph" w:customStyle="1" w:styleId="29">
    <w:name w:val="Table Paragraph"/>
    <w:basedOn w:val="1"/>
    <w:qFormat/>
    <w:uiPriority w:val="1"/>
    <w:rPr>
      <w:rFonts w:ascii="Times New Roman" w:hAnsi="Times New Roman" w:eastAsia="Times New Roman" w:cs="Times New Roman"/>
      <w:lang w:val="zh-CN" w:eastAsia="zh-CN" w:bidi="zh-CN"/>
    </w:rPr>
  </w:style>
  <w:style w:type="paragraph" w:customStyle="1" w:styleId="3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1">
    <w:name w:val="字母编号列项（一级）"/>
    <w:qFormat/>
    <w:uiPriority w:val="2033"/>
    <w:pPr>
      <w:ind w:left="840" w:leftChars="200" w:hanging="420" w:hangingChars="200"/>
      <w:jc w:val="both"/>
    </w:pPr>
    <w:rPr>
      <w:rFonts w:ascii="宋体" w:hAnsi="Times New Roman" w:eastAsia="宋体" w:cs="Times New Roman"/>
      <w:sz w:val="21"/>
      <w:lang w:val="en-US" w:eastAsia="zh-CN" w:bidi="ar-SA"/>
    </w:rPr>
  </w:style>
  <w:style w:type="character" w:customStyle="1" w:styleId="32">
    <w:name w:val="font11"/>
    <w:basedOn w:val="14"/>
    <w:qFormat/>
    <w:uiPriority w:val="0"/>
    <w:rPr>
      <w:rFonts w:hint="eastAsia" w:ascii="宋体" w:hAnsi="宋体" w:eastAsia="宋体" w:cs="宋体"/>
      <w:color w:val="000000"/>
      <w:sz w:val="22"/>
      <w:szCs w:val="22"/>
      <w:u w:val="none"/>
      <w:vertAlign w:val="superscript"/>
    </w:rPr>
  </w:style>
  <w:style w:type="character" w:customStyle="1" w:styleId="33">
    <w:name w:val="font21"/>
    <w:basedOn w:val="14"/>
    <w:qFormat/>
    <w:uiPriority w:val="0"/>
    <w:rPr>
      <w:rFonts w:hint="eastAsia" w:ascii="宋体" w:hAnsi="宋体" w:eastAsia="宋体" w:cs="宋体"/>
      <w:color w:val="000000"/>
      <w:sz w:val="22"/>
      <w:szCs w:val="22"/>
      <w:u w:val="none"/>
    </w:rPr>
  </w:style>
  <w:style w:type="character" w:customStyle="1" w:styleId="34">
    <w:name w:val="font01"/>
    <w:basedOn w:val="1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3385</Words>
  <Characters>3933</Characters>
  <Lines>63</Lines>
  <Paragraphs>17</Paragraphs>
  <TotalTime>0</TotalTime>
  <ScaleCrop>false</ScaleCrop>
  <LinksUpToDate>false</LinksUpToDate>
  <CharactersWithSpaces>4014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2020-08-13T06:09:00Z</dcterms:created>
  <dc:creator>Yiru LIU</dc:creator>
  <cp:lastModifiedBy>张鹏</cp:lastModifiedBy>
  <dcterms:modified xsi:type="dcterms:W3CDTF">2023-02-20T10:01:12Z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BD3D744393284B4386561461F849A574</vt:lpwstr>
  </property>
</Properties>
</file>